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2A740">
      <w:pPr>
        <w:autoSpaceDE w:val="0"/>
        <w:autoSpaceDN w:val="0"/>
        <w:adjustRightInd w:val="0"/>
        <w:jc w:val="left"/>
        <w:outlineLvl w:val="0"/>
        <w:rPr>
          <w:rFonts w:hint="default" w:eastAsia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eastAsia="黑体"/>
          <w:color w:val="auto"/>
          <w:kern w:val="0"/>
          <w:sz w:val="32"/>
          <w:szCs w:val="32"/>
          <w:highlight w:val="none"/>
        </w:rPr>
        <w:t>附件</w:t>
      </w:r>
      <w:r>
        <w:rPr>
          <w:rFonts w:hint="eastAsia" w:eastAsia="黑体"/>
          <w:color w:val="auto"/>
          <w:kern w:val="0"/>
          <w:sz w:val="32"/>
          <w:szCs w:val="32"/>
          <w:highlight w:val="none"/>
          <w:lang w:val="en-US" w:eastAsia="zh-CN"/>
        </w:rPr>
        <w:t>2</w:t>
      </w:r>
    </w:p>
    <w:p w14:paraId="760AAFE8">
      <w:pPr>
        <w:autoSpaceDE w:val="0"/>
        <w:autoSpaceDN w:val="0"/>
        <w:adjustRightInd w:val="0"/>
        <w:snapToGrid w:val="0"/>
        <w:spacing w:line="579" w:lineRule="exact"/>
        <w:jc w:val="center"/>
        <w:rPr>
          <w:rFonts w:hint="eastAsia" w:ascii="黑体" w:hAnsi="黑体" w:eastAsia="黑体" w:cs="宋体"/>
          <w:color w:val="auto"/>
          <w:kern w:val="0"/>
          <w:sz w:val="40"/>
          <w:szCs w:val="40"/>
          <w:highlight w:val="none"/>
        </w:rPr>
      </w:pPr>
      <w:r>
        <w:rPr>
          <w:rFonts w:hint="eastAsia" w:ascii="黑体" w:hAnsi="黑体" w:eastAsia="黑体" w:cs="宋体"/>
          <w:color w:val="auto"/>
          <w:kern w:val="0"/>
          <w:sz w:val="40"/>
          <w:szCs w:val="40"/>
          <w:highlight w:val="none"/>
        </w:rPr>
        <w:t>评分表</w:t>
      </w:r>
    </w:p>
    <w:tbl>
      <w:tblPr>
        <w:tblStyle w:val="3"/>
        <w:tblW w:w="10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073"/>
        <w:gridCol w:w="7481"/>
        <w:gridCol w:w="709"/>
        <w:gridCol w:w="709"/>
      </w:tblGrid>
      <w:tr w14:paraId="3825F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691" w:type="dxa"/>
            <w:vAlign w:val="center"/>
          </w:tcPr>
          <w:p w14:paraId="41BC614A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073" w:type="dxa"/>
            <w:vAlign w:val="center"/>
          </w:tcPr>
          <w:p w14:paraId="63D364BB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评审因素</w:t>
            </w:r>
          </w:p>
        </w:tc>
        <w:tc>
          <w:tcPr>
            <w:tcW w:w="7481" w:type="dxa"/>
            <w:vAlign w:val="center"/>
          </w:tcPr>
          <w:p w14:paraId="6B38B7A2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评分细则</w:t>
            </w:r>
          </w:p>
        </w:tc>
        <w:tc>
          <w:tcPr>
            <w:tcW w:w="709" w:type="dxa"/>
            <w:vAlign w:val="center"/>
          </w:tcPr>
          <w:p w14:paraId="54A3A0A6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分值（分）</w:t>
            </w:r>
          </w:p>
        </w:tc>
        <w:tc>
          <w:tcPr>
            <w:tcW w:w="709" w:type="dxa"/>
            <w:vAlign w:val="center"/>
          </w:tcPr>
          <w:p w14:paraId="594AE79A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得分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）</w:t>
            </w:r>
          </w:p>
        </w:tc>
      </w:tr>
      <w:tr w14:paraId="49117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663" w:type="dxa"/>
            <w:gridSpan w:val="5"/>
            <w:vAlign w:val="center"/>
          </w:tcPr>
          <w:p w14:paraId="4282FB9F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一、技术部分 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分）</w:t>
            </w:r>
          </w:p>
        </w:tc>
      </w:tr>
      <w:tr w14:paraId="6E99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  <w:jc w:val="center"/>
        </w:trPr>
        <w:tc>
          <w:tcPr>
            <w:tcW w:w="691" w:type="dxa"/>
            <w:vAlign w:val="center"/>
          </w:tcPr>
          <w:p w14:paraId="1C35AC9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CCCE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项目整体维修方案</w:t>
            </w:r>
          </w:p>
        </w:tc>
        <w:tc>
          <w:tcPr>
            <w:tcW w:w="7481" w:type="dxa"/>
            <w:shd w:val="clear" w:color="auto" w:fill="auto"/>
            <w:vAlign w:val="center"/>
          </w:tcPr>
          <w:p w14:paraId="31AACF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方案完全贴合本项目饮用水水源地防护栏维修需求，针对台风、人为破坏、老化等常见损坏类型制定专项维修措施，明确维修工艺、材料规格与原护栏完全匹配，可操作性极强，得10分；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2. 方案基本符合项目需求，维修措施基本合理，可操作性较强，得7分；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3. 方案存在不完善之处，维修措施不够具体，可操作性一般，得4分；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4. 未提供方案或方案完全不符合项目要求，得0分。</w:t>
            </w:r>
          </w:p>
        </w:tc>
        <w:tc>
          <w:tcPr>
            <w:tcW w:w="709" w:type="dxa"/>
            <w:vAlign w:val="center"/>
          </w:tcPr>
          <w:p w14:paraId="459AC3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vAlign w:val="center"/>
          </w:tcPr>
          <w:p w14:paraId="59B554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4AAE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691" w:type="dxa"/>
            <w:vAlign w:val="center"/>
          </w:tcPr>
          <w:p w14:paraId="257A6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65A0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施工安全与应急保障措施</w:t>
            </w:r>
          </w:p>
        </w:tc>
        <w:tc>
          <w:tcPr>
            <w:tcW w:w="7481" w:type="dxa"/>
            <w:shd w:val="clear" w:color="auto" w:fill="auto"/>
            <w:vAlign w:val="center"/>
          </w:tcPr>
          <w:p w14:paraId="3C85A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制定临水作业、交通安全等施工安全措施及台风、洪水等极端天气应急抢修措施。</w:t>
            </w:r>
          </w:p>
          <w:p w14:paraId="4AA3E4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施工安全、应急保障措施全面，可行性高，得10分；</w:t>
            </w:r>
          </w:p>
          <w:p w14:paraId="3EB8CA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施工安全、应急保障措施较全面，可行性较高，得7分；</w:t>
            </w:r>
          </w:p>
          <w:p w14:paraId="0722DF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施工安全、应急保障措施不够全面，可行性一般，得4分；</w:t>
            </w:r>
          </w:p>
          <w:p w14:paraId="0AFFA8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没有提供施工安全、应急保障措施，得0分。</w:t>
            </w:r>
          </w:p>
        </w:tc>
        <w:tc>
          <w:tcPr>
            <w:tcW w:w="709" w:type="dxa"/>
            <w:vAlign w:val="center"/>
          </w:tcPr>
          <w:p w14:paraId="7F194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vAlign w:val="center"/>
          </w:tcPr>
          <w:p w14:paraId="2EF66762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701F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691" w:type="dxa"/>
            <w:vAlign w:val="center"/>
          </w:tcPr>
          <w:p w14:paraId="6CCC5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073" w:type="dxa"/>
            <w:vAlign w:val="center"/>
          </w:tcPr>
          <w:p w14:paraId="1AC98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项目进度计划与质量保障措施</w:t>
            </w:r>
          </w:p>
        </w:tc>
        <w:tc>
          <w:tcPr>
            <w:tcW w:w="7481" w:type="dxa"/>
            <w:vAlign w:val="center"/>
          </w:tcPr>
          <w:p w14:paraId="66D23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1. 进度计划完全满足招标文件工期要求，节点清晰可控，工期保障措施具体，质量管控体系完善，明确维修质保期与质保责任，得10分；</w:t>
            </w:r>
          </w:p>
          <w:p w14:paraId="1ADF1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2. 进度计划、质量保障措施基本合理，满足项目基本要求，得7分；</w:t>
            </w:r>
          </w:p>
          <w:p w14:paraId="3D2E8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3. 进度计划、质量保障措施不够完善，得4分；</w:t>
            </w:r>
          </w:p>
          <w:p w14:paraId="3F912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4. 未提供或不满足招标文件实质性要求，得0分。</w:t>
            </w:r>
          </w:p>
        </w:tc>
        <w:tc>
          <w:tcPr>
            <w:tcW w:w="709" w:type="dxa"/>
            <w:vAlign w:val="center"/>
          </w:tcPr>
          <w:p w14:paraId="07DC6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vAlign w:val="center"/>
          </w:tcPr>
          <w:p w14:paraId="0F76125B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BA9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0663" w:type="dxa"/>
            <w:gridSpan w:val="5"/>
            <w:vAlign w:val="center"/>
          </w:tcPr>
          <w:p w14:paraId="20A27EC1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二、商务部分 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分）</w:t>
            </w:r>
          </w:p>
        </w:tc>
      </w:tr>
      <w:tr w14:paraId="5137D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691" w:type="dxa"/>
            <w:vAlign w:val="center"/>
          </w:tcPr>
          <w:p w14:paraId="52ACF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73" w:type="dxa"/>
            <w:vAlign w:val="center"/>
          </w:tcPr>
          <w:p w14:paraId="2CB5A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商同类项目业绩</w:t>
            </w:r>
          </w:p>
        </w:tc>
        <w:tc>
          <w:tcPr>
            <w:tcW w:w="7481" w:type="dxa"/>
            <w:vAlign w:val="center"/>
          </w:tcPr>
          <w:p w14:paraId="1659F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近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年（自投标截止之日起倒算）承担过水库围蔽或类似工程施工项目，每提供1个得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分，最多得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分。</w:t>
            </w:r>
          </w:p>
          <w:p w14:paraId="762BF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</w:rPr>
              <w:t>注：提供加盖公章的合同关键信息（含签订合同双方的单位名称、合同项目名称、服务内容与含签订合同双方的落款盖章、签订日期的关键页）复印件作为得分依据。以合同签订时间为准。</w:t>
            </w:r>
          </w:p>
        </w:tc>
        <w:tc>
          <w:tcPr>
            <w:tcW w:w="709" w:type="dxa"/>
            <w:vAlign w:val="center"/>
          </w:tcPr>
          <w:p w14:paraId="2AA31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vAlign w:val="center"/>
          </w:tcPr>
          <w:p w14:paraId="59791D78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167B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691" w:type="dxa"/>
            <w:vAlign w:val="center"/>
          </w:tcPr>
          <w:p w14:paraId="4743F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73" w:type="dxa"/>
            <w:vAlign w:val="center"/>
          </w:tcPr>
          <w:p w14:paraId="37AB3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项目管理机构</w:t>
            </w:r>
          </w:p>
          <w:p w14:paraId="066D4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及人员配置</w:t>
            </w:r>
          </w:p>
          <w:p w14:paraId="324B1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481" w:type="dxa"/>
            <w:vAlign w:val="center"/>
          </w:tcPr>
          <w:p w14:paraId="4BAC44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/>
                <w:color w:val="auto"/>
                <w:highlight w:val="none"/>
                <w:lang w:val="en-US" w:eastAsia="zh-CN"/>
              </w:rPr>
            </w:pPr>
            <w:bookmarkStart w:id="0" w:name="OLE_LINK1"/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项目负责人具有备建筑工程二级注册建造师或以上注册建造师资格，且具有有效安全生产考核合格证书（B证）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，得5分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；</w:t>
            </w:r>
          </w:p>
          <w:p w14:paraId="235B79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拟派本项目的项目经理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技术负责人具有中级或以上工程师职称的得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分，具有助理工程师职称的得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分，本项最高得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；</w:t>
            </w:r>
          </w:p>
          <w:p w14:paraId="6BF2FE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项目部配备专职安全员（C证）、质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量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员、施工员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、资料员、材料员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等管理人员，人员配置齐全、持证上岗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（每提供一类人员得2分，本项最高分10分）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。</w:t>
            </w:r>
          </w:p>
          <w:p w14:paraId="10D0E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注：须提供</w:t>
            </w:r>
            <w:bookmarkEnd w:id="0"/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上述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" w:eastAsia="zh-CN"/>
              </w:rPr>
              <w:t>人员相应证书复印件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" w:eastAsia="zh-CN"/>
              </w:rPr>
              <w:t>及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本项目投标截止日前3个月内任意1个月的由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商为其购买的社保证明加盖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服务商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公章，无或缺项或未按要求递交证明材料的不得分</w:t>
            </w:r>
          </w:p>
        </w:tc>
        <w:tc>
          <w:tcPr>
            <w:tcW w:w="709" w:type="dxa"/>
            <w:vAlign w:val="center"/>
          </w:tcPr>
          <w:p w14:paraId="755F8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709" w:type="dxa"/>
            <w:vAlign w:val="center"/>
          </w:tcPr>
          <w:p w14:paraId="34C14660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938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663" w:type="dxa"/>
            <w:gridSpan w:val="5"/>
            <w:vAlign w:val="center"/>
          </w:tcPr>
          <w:p w14:paraId="75158735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三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、价格部分（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分）</w:t>
            </w:r>
          </w:p>
        </w:tc>
      </w:tr>
      <w:tr w14:paraId="6161E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691" w:type="dxa"/>
            <w:vAlign w:val="center"/>
          </w:tcPr>
          <w:p w14:paraId="1F6D2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73" w:type="dxa"/>
            <w:vAlign w:val="center"/>
          </w:tcPr>
          <w:p w14:paraId="5013D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价格得分</w:t>
            </w:r>
          </w:p>
        </w:tc>
        <w:tc>
          <w:tcPr>
            <w:tcW w:w="7481" w:type="dxa"/>
            <w:vAlign w:val="center"/>
          </w:tcPr>
          <w:p w14:paraId="2965E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取满足采购文件要求且价格扣除后的最低投标报价作为评标基准价，其价格分为满分。其他供应商的价格分统一按照下列公式计算：价格扣除后的投标报价得分=（评标基准价/价格扣除后的投标报价）×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 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（对符合规定的小型和微型企业（监狱企业、残疾人福利单位视同小型、微型企业）报价给予10%的价格扣除。）</w:t>
            </w:r>
            <w:bookmarkStart w:id="1" w:name="_GoBack"/>
            <w:bookmarkEnd w:id="1"/>
          </w:p>
        </w:tc>
        <w:tc>
          <w:tcPr>
            <w:tcW w:w="709" w:type="dxa"/>
            <w:vAlign w:val="center"/>
          </w:tcPr>
          <w:p w14:paraId="1F21B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40</w:t>
            </w:r>
          </w:p>
        </w:tc>
        <w:tc>
          <w:tcPr>
            <w:tcW w:w="709" w:type="dxa"/>
            <w:vAlign w:val="center"/>
          </w:tcPr>
          <w:p w14:paraId="6B08DADC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38C7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245" w:type="dxa"/>
            <w:gridSpan w:val="3"/>
            <w:vAlign w:val="center"/>
          </w:tcPr>
          <w:p w14:paraId="54003457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合计</w:t>
            </w:r>
          </w:p>
        </w:tc>
        <w:tc>
          <w:tcPr>
            <w:tcW w:w="709" w:type="dxa"/>
            <w:vAlign w:val="center"/>
          </w:tcPr>
          <w:p w14:paraId="5842D867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 xml:space="preserve">100分 </w:t>
            </w:r>
          </w:p>
        </w:tc>
        <w:tc>
          <w:tcPr>
            <w:tcW w:w="709" w:type="dxa"/>
            <w:vAlign w:val="center"/>
          </w:tcPr>
          <w:p w14:paraId="0D7D98B2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</w:tbl>
    <w:p w14:paraId="15A7FF45">
      <w:pPr>
        <w:widowControl/>
        <w:ind w:left="-1200" w:leftChars="-400" w:firstLine="0" w:firstLineChars="0"/>
        <w:jc w:val="both"/>
        <w:outlineLvl w:val="0"/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</w:pPr>
    </w:p>
    <w:p w14:paraId="2DC4B447">
      <w:pPr>
        <w:widowControl/>
        <w:ind w:left="-1200" w:leftChars="-400" w:right="-93" w:rightChars="-31" w:firstLine="0" w:firstLineChars="0"/>
        <w:jc w:val="both"/>
        <w:outlineLvl w:val="0"/>
      </w:pP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  <w:t>评审人签名：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val="en-US" w:eastAsia="zh-CN"/>
        </w:rPr>
        <w:t xml:space="preserve">                                                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  <w:t>评审日期： 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A61533"/>
    <w:multiLevelType w:val="singleLevel"/>
    <w:tmpl w:val="29A6153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5916C77"/>
    <w:multiLevelType w:val="singleLevel"/>
    <w:tmpl w:val="35916C7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85DBB"/>
    <w:rsid w:val="12A437F2"/>
    <w:rsid w:val="2E4A533C"/>
    <w:rsid w:val="47C60494"/>
    <w:rsid w:val="48E0320C"/>
    <w:rsid w:val="55B05F35"/>
    <w:rsid w:val="5C3F0993"/>
    <w:rsid w:val="67D3026F"/>
    <w:rsid w:val="6DFE0A98"/>
    <w:rsid w:val="75A4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spacing w:before="997"/>
      <w:ind w:left="104"/>
    </w:pPr>
    <w:rPr>
      <w:rFonts w:ascii="宋体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1099</Words>
  <Characters>1131</Characters>
  <Lines>0</Lines>
  <Paragraphs>0</Paragraphs>
  <TotalTime>2</TotalTime>
  <ScaleCrop>false</ScaleCrop>
  <LinksUpToDate>false</LinksUpToDate>
  <CharactersWithSpaces>1207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2026-09-15T01:13:00Z</dcterms:created>
  <dc:creator>十年之约</dc:creator>
  <cp:lastModifiedBy>十年之约</cp:lastModifiedBy>
  <dcterms:modified xsi:type="dcterms:W3CDTF">2026-10-09T07:26:36Z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CF780FCE87784A53B3FF165ACF6D8F80_13</vt:lpwstr>
  </property>
  <property fmtid="{D5CDD505-2E9C-101B-9397-08002B2CF9AE}" pid="4" name="KSOTemplateDocerSaveRecord">
    <vt:lpwstr>eyJoZGlkIjoiMjk0YTIzZjFjZWM2YTUwNTllNDY1MjkxZWM4YzY1ODIiLCJ1c2VySWQiOiIzNzA0NDA1ODIifQ==</vt:lpwstr>
  </property>
</Properties>
</file>