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val="0"/>
        <w:snapToGrid w:val="0"/>
        <w:spacing w:after="0" w:line="560" w:lineRule="atLeast"/>
        <w:ind w:firstLine="0" w:firstLineChars="0"/>
        <w:jc w:val="both"/>
        <w:textAlignment w:val="auto"/>
        <w:rPr>
          <w:rFonts w:hint="eastAsia" w:ascii="黑体" w:hAnsi="黑体" w:eastAsia="黑体" w:cs="黑体"/>
          <w:sz w:val="32"/>
          <w:szCs w:val="32"/>
        </w:rPr>
      </w:pPr>
      <w:r>
        <w:rPr>
          <w:rFonts w:hint="eastAsia" w:ascii="黑体" w:hAnsi="黑体" w:eastAsia="黑体" w:cs="黑体"/>
          <w:sz w:val="32"/>
          <w:szCs w:val="32"/>
        </w:rPr>
        <w:t>附件1</w:t>
      </w:r>
    </w:p>
    <w:p>
      <w:pPr>
        <w:pStyle w:val="3"/>
        <w:keepNext w:val="0"/>
        <w:keepLines w:val="0"/>
        <w:pageBreakBefore w:val="0"/>
        <w:widowControl w:val="0"/>
        <w:kinsoku/>
        <w:wordWrap/>
        <w:overflowPunct/>
        <w:topLinePunct w:val="0"/>
        <w:autoSpaceDE/>
        <w:autoSpaceDN/>
        <w:bidi w:val="0"/>
        <w:adjustRightInd w:val="0"/>
        <w:snapToGrid w:val="0"/>
        <w:spacing w:after="0" w:line="560" w:lineRule="atLeas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供应商评审表</w:t>
      </w:r>
    </w:p>
    <w:p>
      <w:pPr>
        <w:pStyle w:val="7"/>
        <w:keepNext w:val="0"/>
        <w:keepLines w:val="0"/>
        <w:pageBreakBefore w:val="0"/>
        <w:widowControl w:val="0"/>
        <w:tabs>
          <w:tab w:val="left" w:pos="540"/>
        </w:tabs>
        <w:kinsoku/>
        <w:wordWrap/>
        <w:overflowPunct/>
        <w:topLinePunct w:val="0"/>
        <w:autoSpaceDE/>
        <w:autoSpaceDN/>
        <w:bidi w:val="0"/>
        <w:adjustRightInd w:val="0"/>
        <w:snapToGrid w:val="0"/>
        <w:spacing w:after="0" w:line="560" w:lineRule="atLeast"/>
        <w:jc w:val="both"/>
        <w:textAlignment w:val="auto"/>
        <w:rPr>
          <w:rFonts w:hint="eastAsia" w:ascii="黑体" w:hAnsi="黑体" w:eastAsia="黑体" w:cs="黑体"/>
          <w:sz w:val="32"/>
          <w:szCs w:val="32"/>
        </w:rPr>
      </w:pPr>
    </w:p>
    <w:p>
      <w:pPr>
        <w:pStyle w:val="7"/>
        <w:keepNext w:val="0"/>
        <w:keepLines w:val="0"/>
        <w:pageBreakBefore w:val="0"/>
        <w:widowControl w:val="0"/>
        <w:tabs>
          <w:tab w:val="left" w:pos="540"/>
        </w:tabs>
        <w:kinsoku/>
        <w:wordWrap/>
        <w:overflowPunct/>
        <w:topLinePunct w:val="0"/>
        <w:autoSpaceDE/>
        <w:autoSpaceDN/>
        <w:bidi w:val="0"/>
        <w:adjustRightInd w:val="0"/>
        <w:snapToGrid w:val="0"/>
        <w:spacing w:after="0" w:line="560" w:lineRule="atLeast"/>
        <w:ind w:firstLine="642" w:firstLineChars="200"/>
        <w:jc w:val="both"/>
        <w:textAlignment w:val="auto"/>
        <w:rPr>
          <w:rFonts w:hint="eastAsia" w:ascii="仿宋" w:hAnsi="仿宋" w:eastAsia="仿宋" w:cs="仿宋"/>
          <w:b/>
          <w:bCs/>
          <w:sz w:val="32"/>
          <w:szCs w:val="32"/>
        </w:rPr>
      </w:pPr>
      <w:r>
        <w:rPr>
          <w:rFonts w:hint="eastAsia" w:ascii="仿宋" w:hAnsi="仿宋" w:eastAsia="仿宋" w:cs="仿宋"/>
          <w:b/>
          <w:bCs/>
          <w:sz w:val="32"/>
          <w:szCs w:val="32"/>
        </w:rPr>
        <w:t>一、商务要求</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1.供应商应具备《政府采购法》第二十二条规定的条件：</w:t>
      </w:r>
    </w:p>
    <w:p>
      <w:pPr>
        <w:pStyle w:val="13"/>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具有独立承担民事责任的能力；（提供营业执照或事业单位法人证书，或其他主体登记证书等证明文件，自然人参加磋商时须提供自然人的身份证明材料。）</w:t>
      </w:r>
    </w:p>
    <w:p>
      <w:pPr>
        <w:pStyle w:val="13"/>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具有良好的商业信誉和健全的财务会计制度；（提供财务报告或基本开户银行出具的资信证明）</w:t>
      </w:r>
    </w:p>
    <w:p>
      <w:pPr>
        <w:pStyle w:val="13"/>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依法缴纳税收和社会保障资金的良好记录。（提供依法缴纳税收和社会保障资金的相关材料。如依法免税或不需要缴纳社会保障资金的，须提供相应证明材料）</w:t>
      </w:r>
    </w:p>
    <w:p>
      <w:pPr>
        <w:pStyle w:val="13"/>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供应商参加政府采购活动前三年内，在经营活动中没有重大违法记录。（须提供书面声明）</w:t>
      </w:r>
    </w:p>
    <w:p>
      <w:pPr>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供应商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keepNext w:val="0"/>
        <w:keepLines w:val="0"/>
        <w:pageBreakBefore w:val="0"/>
        <w:widowControl w:val="0"/>
        <w:kinsoku w:val="0"/>
        <w:wordWrap/>
        <w:overflowPunct w:val="0"/>
        <w:topLinePunct w:val="0"/>
        <w:autoSpaceDE w:val="0"/>
        <w:autoSpaceDN w:val="0"/>
        <w:bidi w:val="0"/>
        <w:adjustRightInd w:val="0"/>
        <w:snapToGrid w:val="0"/>
        <w:spacing w:after="0" w:line="560" w:lineRule="atLeast"/>
        <w:ind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供应商</w:t>
      </w:r>
      <w:r>
        <w:rPr>
          <w:rFonts w:hint="eastAsia" w:ascii="仿宋_GB2312" w:hAnsi="仿宋_GB2312" w:eastAsia="仿宋_GB2312" w:cs="仿宋_GB2312"/>
          <w:sz w:val="32"/>
          <w:szCs w:val="32"/>
          <w:lang w:val="en-US" w:eastAsia="zh-CN"/>
        </w:rPr>
        <w:t>必</w:t>
      </w:r>
      <w:r>
        <w:rPr>
          <w:rFonts w:hint="eastAsia" w:ascii="仿宋_GB2312" w:hAnsi="仿宋_GB2312" w:eastAsia="仿宋_GB2312" w:cs="仿宋_GB2312"/>
          <w:sz w:val="32"/>
          <w:szCs w:val="32"/>
        </w:rPr>
        <w:t>须未被列入“信用中国”网站（www.creditchina.gov.cn）“记录失信被执行人或重大税收违法案件当事人名单”记录名单；且不处于中国政府采购网（www.ccgp.gov.cn）“政府采购严重违法失信行为信息记录”中的禁止参加政府采购活动期间。（以采购代理机构于提交响应文件截止日当天在“信用中国”网站（www.creditchina.gov.cn）及中国政府采购网查询结果为准，如相关失信记录已失效，供应商需提供相关证明资料）</w:t>
      </w:r>
    </w:p>
    <w:p>
      <w:pPr>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二、评分标准</w:t>
      </w:r>
    </w:p>
    <w:p>
      <w:pPr>
        <w:keepNext w:val="0"/>
        <w:keepLines w:val="0"/>
        <w:pageBreakBefore w:val="0"/>
        <w:widowControl w:val="0"/>
        <w:kinsoku/>
        <w:wordWrap/>
        <w:overflowPunct/>
        <w:topLinePunct w:val="0"/>
        <w:autoSpaceDE/>
        <w:autoSpaceDN/>
        <w:bidi w:val="0"/>
        <w:adjustRightInd w:val="0"/>
        <w:snapToGrid w:val="0"/>
        <w:spacing w:after="0"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本次采用综合评分法。评审以文件规定的条件为依据。评分比重构成如下：</w:t>
      </w:r>
    </w:p>
    <w:tbl>
      <w:tblPr>
        <w:tblStyle w:val="11"/>
        <w:tblpPr w:leftFromText="180" w:rightFromText="180" w:vertAnchor="text" w:tblpXSpec="center" w:tblpY="1"/>
        <w:tblOverlap w:val="never"/>
        <w:tblW w:w="904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2055"/>
        <w:gridCol w:w="2796"/>
        <w:gridCol w:w="2096"/>
        <w:gridCol w:w="21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94" w:hRule="atLeast"/>
          <w:jc w:val="center"/>
        </w:trPr>
        <w:tc>
          <w:tcPr>
            <w:tcW w:w="2055" w:type="dxa"/>
            <w:vAlign w:val="bottom"/>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b/>
                <w:bCs/>
              </w:rPr>
            </w:pPr>
            <w:r>
              <w:rPr>
                <w:rFonts w:hint="eastAsia" w:ascii="宋体" w:hAnsi="宋体"/>
                <w:b/>
                <w:bCs/>
              </w:rPr>
              <w:t>评分项目</w:t>
            </w:r>
          </w:p>
        </w:tc>
        <w:tc>
          <w:tcPr>
            <w:tcW w:w="2796" w:type="dxa"/>
            <w:vAlign w:val="bottom"/>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b/>
                <w:bCs/>
              </w:rPr>
            </w:pPr>
            <w:r>
              <w:rPr>
                <w:rFonts w:hint="eastAsia" w:ascii="宋体" w:hAnsi="宋体"/>
                <w:b/>
                <w:bCs/>
                <w:szCs w:val="21"/>
                <w:lang w:bidi="ar"/>
              </w:rPr>
              <w:t>技术分</w:t>
            </w:r>
          </w:p>
        </w:tc>
        <w:tc>
          <w:tcPr>
            <w:tcW w:w="2096" w:type="dxa"/>
            <w:vAlign w:val="bottom"/>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b/>
                <w:bCs/>
              </w:rPr>
            </w:pPr>
            <w:r>
              <w:rPr>
                <w:rFonts w:hint="eastAsia" w:ascii="宋体" w:hAnsi="宋体"/>
                <w:b/>
                <w:bCs/>
                <w:lang w:val="en-US" w:eastAsia="zh-CN"/>
              </w:rPr>
              <w:t>商务</w:t>
            </w:r>
            <w:r>
              <w:rPr>
                <w:rFonts w:hint="eastAsia" w:ascii="宋体" w:hAnsi="宋体"/>
                <w:b/>
                <w:bCs/>
              </w:rPr>
              <w:t>分</w:t>
            </w:r>
          </w:p>
        </w:tc>
        <w:tc>
          <w:tcPr>
            <w:tcW w:w="2100" w:type="dxa"/>
            <w:vAlign w:val="bottom"/>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b/>
                <w:bCs/>
              </w:rPr>
            </w:pPr>
            <w:r>
              <w:rPr>
                <w:rFonts w:hint="eastAsia" w:ascii="宋体" w:hAnsi="宋体"/>
                <w:b/>
                <w:bCs/>
              </w:rPr>
              <w:t>价格分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628" w:hRule="atLeast"/>
          <w:jc w:val="center"/>
        </w:trPr>
        <w:tc>
          <w:tcPr>
            <w:tcW w:w="2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color w:val="auto"/>
                <w:szCs w:val="21"/>
              </w:rPr>
            </w:pPr>
            <w:r>
              <w:rPr>
                <w:rFonts w:hint="eastAsia" w:ascii="宋体" w:hAnsi="宋体"/>
                <w:color w:val="auto"/>
                <w:szCs w:val="21"/>
              </w:rPr>
              <w:t>权重</w:t>
            </w:r>
          </w:p>
        </w:tc>
        <w:tc>
          <w:tcPr>
            <w:tcW w:w="2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color w:val="auto"/>
                <w:szCs w:val="21"/>
                <w:highlight w:val="none"/>
              </w:rPr>
            </w:pPr>
            <w:r>
              <w:rPr>
                <w:rFonts w:hint="eastAsia" w:ascii="宋体" w:hAnsi="宋体"/>
                <w:color w:val="auto"/>
                <w:szCs w:val="21"/>
                <w:highlight w:val="none"/>
                <w:lang w:val="en-US" w:eastAsia="zh-CN"/>
              </w:rPr>
              <w:t>50</w:t>
            </w:r>
            <w:r>
              <w:rPr>
                <w:rFonts w:hint="eastAsia" w:ascii="宋体" w:hAnsi="宋体"/>
                <w:color w:val="auto"/>
                <w:szCs w:val="21"/>
                <w:highlight w:val="none"/>
              </w:rPr>
              <w:t>%</w:t>
            </w:r>
          </w:p>
        </w:tc>
        <w:tc>
          <w:tcPr>
            <w:tcW w:w="20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color w:val="auto"/>
                <w:szCs w:val="21"/>
                <w:highlight w:val="none"/>
              </w:rPr>
            </w:pPr>
            <w:r>
              <w:rPr>
                <w:rFonts w:hint="eastAsia" w:ascii="宋体" w:hAnsi="宋体"/>
                <w:color w:val="auto"/>
                <w:szCs w:val="21"/>
                <w:highlight w:val="none"/>
                <w:lang w:val="en-US" w:eastAsia="zh-CN"/>
              </w:rPr>
              <w:t>40</w:t>
            </w:r>
            <w:r>
              <w:rPr>
                <w:rFonts w:hint="eastAsia" w:ascii="宋体" w:hAnsi="宋体"/>
                <w:color w:val="auto"/>
                <w:szCs w:val="21"/>
                <w:highlight w:val="none"/>
              </w:rPr>
              <w:t>%</w:t>
            </w:r>
          </w:p>
        </w:tc>
        <w:tc>
          <w:tcPr>
            <w:tcW w:w="210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color w:val="auto"/>
                <w:szCs w:val="21"/>
              </w:rPr>
            </w:pPr>
            <w:r>
              <w:rPr>
                <w:rFonts w:hint="eastAsia" w:ascii="宋体" w:hAnsi="宋体"/>
                <w:color w:val="auto"/>
                <w:szCs w:val="21"/>
                <w:lang w:val="en-US" w:eastAsia="zh-CN"/>
              </w:rPr>
              <w:t>10</w:t>
            </w:r>
            <w:r>
              <w:rPr>
                <w:rFonts w:hint="eastAsia" w:ascii="宋体" w:hAnsi="宋体"/>
                <w:color w:val="auto"/>
                <w:szCs w:val="21"/>
              </w:rPr>
              <w:t>%</w:t>
            </w:r>
          </w:p>
        </w:tc>
      </w:tr>
    </w:tbl>
    <w:p>
      <w:pPr>
        <w:keepNext w:val="0"/>
        <w:keepLines w:val="0"/>
        <w:pageBreakBefore w:val="0"/>
        <w:wordWrap/>
        <w:topLinePunct w:val="0"/>
        <w:bidi w:val="0"/>
        <w:spacing w:after="0"/>
        <w:rPr>
          <w:rFonts w:hint="eastAsia" w:ascii="宋体" w:hAnsi="宋体"/>
          <w:b/>
          <w:bCs/>
          <w:color w:val="auto"/>
          <w:sz w:val="44"/>
          <w:szCs w:val="44"/>
          <w:lang w:val="zh-CN"/>
        </w:rPr>
      </w:pPr>
    </w:p>
    <w:tbl>
      <w:tblPr>
        <w:tblStyle w:val="11"/>
        <w:tblW w:w="5288" w:type="pct"/>
        <w:tblInd w:w="-26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7"/>
        <w:gridCol w:w="1612"/>
        <w:gridCol w:w="71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highlight w:val="none"/>
                <w:u w:val="none"/>
                <w:shd w:val="clear" w:color="auto" w:fill="auto"/>
              </w:rPr>
            </w:pPr>
            <w:r>
              <w:rPr>
                <w:rFonts w:hint="eastAsia" w:ascii="仿宋_GB2312" w:hAnsi="仿宋_GB2312" w:eastAsia="仿宋_GB2312" w:cs="仿宋_GB2312"/>
                <w:b/>
                <w:bCs/>
                <w:i w:val="0"/>
                <w:iCs w:val="0"/>
                <w:color w:val="000000"/>
                <w:kern w:val="0"/>
                <w:sz w:val="21"/>
                <w:szCs w:val="21"/>
                <w:highlight w:val="none"/>
                <w:u w:val="none"/>
                <w:shd w:val="clear" w:color="auto" w:fill="auto"/>
                <w:lang w:val="en-US" w:eastAsia="zh-CN" w:bidi="ar"/>
              </w:rPr>
              <w:t>评审因素</w:t>
            </w:r>
          </w:p>
        </w:tc>
        <w:tc>
          <w:tcPr>
            <w:tcW w:w="45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highlight w:val="none"/>
                <w:u w:val="none"/>
                <w:shd w:val="clear" w:color="auto" w:fill="auto"/>
              </w:rPr>
            </w:pPr>
            <w:r>
              <w:rPr>
                <w:rFonts w:hint="eastAsia" w:ascii="仿宋_GB2312" w:hAnsi="仿宋_GB2312" w:eastAsia="仿宋_GB2312" w:cs="仿宋_GB2312"/>
                <w:b/>
                <w:bCs/>
                <w:i w:val="0"/>
                <w:iCs w:val="0"/>
                <w:color w:val="000000"/>
                <w:kern w:val="0"/>
                <w:sz w:val="21"/>
                <w:szCs w:val="21"/>
                <w:highlight w:val="none"/>
                <w:u w:val="none"/>
                <w:shd w:val="clear" w:color="auto" w:fill="auto"/>
                <w:lang w:val="en-US" w:eastAsia="zh-CN" w:bidi="ar"/>
              </w:rPr>
              <w:t>评审标准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技术部分</w:t>
            </w: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项目建设方案</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auto"/>
                <w:kern w:val="0"/>
                <w:sz w:val="21"/>
                <w:szCs w:val="21"/>
                <w:highlight w:val="none"/>
                <w:u w:val="none"/>
                <w:shd w:val="clear" w:color="auto" w:fill="auto"/>
                <w:lang w:val="en-US" w:eastAsia="zh-CN" w:bidi="ar"/>
              </w:rPr>
              <w:t>（15分）</w:t>
            </w:r>
          </w:p>
        </w:tc>
        <w:tc>
          <w:tcPr>
            <w:tcW w:w="3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考察内容：</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投标人提供的项目建设方案包括下述内容：</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1.本项目的建设背景、现状、业务需求；</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2.目前存在的问题以及业务需求、性能需求、本项目建设必要性；</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3.本项目采用的服务方案。</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评审标准：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提供上述一项内容得2分，此项最高得6分，未满足不得分。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在此基础上，评委根据项目建设方案的具体响应内容按照量化的评审因素指标进一步评审：</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（1）项目建设方案响应内容全面；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（2）项目建设方案响应内容具体；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（3）项目建设方案响应内容针对性强；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（4）项目建设方案响应内容科学合理；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（5）项目建设方案响应内容可操作性强。</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优评分标准：满足以上五项要求的评价为优，加9分；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良评分标准：满足以上四项要求的评价为良，加5分；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中评分标准：满足以上三项要求的评价为中，加1分；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差评分标准：上述情况之外的或未提供的，不得分。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highlight w:val="none"/>
                <w:u w:val="none"/>
                <w:shd w:val="clear" w:color="auto" w:fill="auto"/>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项目重点难点分析、应对措施及相关的合理化建议</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（12分）</w:t>
            </w:r>
          </w:p>
        </w:tc>
        <w:tc>
          <w:tcPr>
            <w:tcW w:w="3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考察内容：</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根据投标人对重点难点分析、应对措施及相关的合理化建议进行评审，方案内容包括以下内容：</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1.项目重点难点进行分析；</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2.针对重点难点的相关提供应对措施；</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3.针对本项目重点难点的合理化建议。</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评审标准：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提供上述一项内容得2分，此项最高得6分，未满足不得分。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在此基础上，评委根据项目重点难点分析、应对措施及相关的合理化建议的具体响应内容按照量化的评审因素指标进一步评审：</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（1）项目重点难点分析、应对措施及相关的合理化建议响应内容全面；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（2）项目重点难点分析、应对措施及相关的合理化建议响应内容具体；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（3）项目重点难点分析、应对措施及相关的合理化建议响应内容针对性强；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（4）项目重点难点分析、应对措施及相关的合理化建议响应内容科学合理；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（5）项目重点难点分析、应对措施及相关的合理化建议响应内容可操作性强。</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优评分标准：满足以上五项要求的评价为优，加6分；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良评分标准：满足以上四项要求的评价为良，加3分；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中评分标准：满足以上三项要求的评价为中，加1分；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差评分标准：上述情况之外的或未提供的，不得分。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highlight w:val="none"/>
                <w:u w:val="none"/>
                <w:shd w:val="clear" w:color="auto" w:fill="auto"/>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项目实施方案</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（10分）</w:t>
            </w:r>
          </w:p>
        </w:tc>
        <w:tc>
          <w:tcPr>
            <w:tcW w:w="3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考察内容：</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投标人提供的项目实施方案包括下述内容：</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1、针对本项目的实施方案；</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2、项目安排方案；</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3、售后服务方案。</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评审标准：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提供上述一项内容得2分，此项最高得6分，未满足不得分。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在此基础上，评委根据项目实施方案的具体响应内容按照量化的评审因素指标进一步评审：</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（1）项目实施方案响应内容全面；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（2）项目实施方案响应内容具体；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 xml:space="preserve">（3）项目实施方案响应内容针对性强； </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（4）项目实施方案响应内容科学合理；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（5）项目实施方案响应内容可操作性强。</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优评分标准：满足以上五项要求的评价为优，加4分；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良评分标准：满足以上四项要求的评价为良，加2分；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中评分标准：满足以上三项要求的评价为中，加1分；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差评分标准：上述情况之外的或未提供的，不得分。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highlight w:val="none"/>
                <w:u w:val="none"/>
                <w:shd w:val="clear" w:color="auto" w:fill="auto"/>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拟安排的项目团队情况</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（13分）</w:t>
            </w:r>
          </w:p>
        </w:tc>
        <w:tc>
          <w:tcPr>
            <w:tcW w:w="37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both"/>
              <w:textAlignment w:val="center"/>
              <w:rPr>
                <w:rFonts w:hint="eastAsia" w:ascii="仿宋_GB2312" w:hAnsi="仿宋_GB2312" w:eastAsia="仿宋_GB2312" w:cs="仿宋_GB2312"/>
                <w:color w:val="000000"/>
                <w:kern w:val="0"/>
                <w:szCs w:val="21"/>
                <w:highlight w:val="none"/>
                <w:u w:val="none"/>
                <w:shd w:val="clear" w:color="auto" w:fill="auto"/>
                <w:lang w:bidi="ar"/>
              </w:rPr>
            </w:pPr>
            <w:r>
              <w:rPr>
                <w:rFonts w:hint="eastAsia" w:ascii="仿宋_GB2312" w:hAnsi="仿宋_GB2312" w:eastAsia="仿宋_GB2312" w:cs="仿宋_GB2312"/>
                <w:color w:val="000000"/>
                <w:kern w:val="0"/>
                <w:szCs w:val="21"/>
                <w:highlight w:val="none"/>
                <w:u w:val="none"/>
                <w:shd w:val="clear" w:color="auto" w:fill="auto"/>
                <w:lang w:bidi="ar"/>
              </w:rPr>
              <w:t>根据</w:t>
            </w:r>
            <w:r>
              <w:rPr>
                <w:rFonts w:hint="eastAsia" w:ascii="仿宋_GB2312" w:hAnsi="仿宋_GB2312" w:eastAsia="仿宋_GB2312" w:cs="仿宋_GB2312"/>
                <w:color w:val="000000"/>
                <w:kern w:val="0"/>
                <w:szCs w:val="21"/>
                <w:highlight w:val="none"/>
                <w:u w:val="none"/>
                <w:shd w:val="clear" w:color="auto" w:fill="auto"/>
                <w:lang w:val="en-US" w:eastAsia="zh-CN" w:bidi="ar"/>
              </w:rPr>
              <w:t>响应供应商</w:t>
            </w:r>
            <w:r>
              <w:rPr>
                <w:rFonts w:hint="eastAsia" w:ascii="仿宋_GB2312" w:hAnsi="仿宋_GB2312" w:eastAsia="仿宋_GB2312" w:cs="仿宋_GB2312"/>
                <w:color w:val="000000"/>
                <w:kern w:val="0"/>
                <w:szCs w:val="21"/>
                <w:highlight w:val="none"/>
                <w:u w:val="none"/>
                <w:shd w:val="clear" w:color="auto" w:fill="auto"/>
                <w:lang w:bidi="ar"/>
              </w:rPr>
              <w:t>拟投入的项目团队人员的数量、专业配备、职责分工、经验等进行评审。</w:t>
            </w:r>
          </w:p>
          <w:p>
            <w:pPr>
              <w:widowControl/>
              <w:spacing w:line="360" w:lineRule="auto"/>
              <w:ind w:firstLineChars="200"/>
              <w:jc w:val="both"/>
              <w:textAlignment w:val="center"/>
              <w:rPr>
                <w:rFonts w:hint="eastAsia" w:ascii="仿宋_GB2312" w:hAnsi="仿宋_GB2312" w:eastAsia="仿宋_GB2312" w:cs="仿宋_GB2312"/>
                <w:color w:val="000000"/>
                <w:kern w:val="0"/>
                <w:szCs w:val="21"/>
                <w:highlight w:val="none"/>
                <w:u w:val="none"/>
                <w:shd w:val="clear" w:color="auto" w:fill="auto"/>
                <w:lang w:bidi="ar"/>
              </w:rPr>
            </w:pPr>
            <w:r>
              <w:rPr>
                <w:rFonts w:hint="eastAsia" w:ascii="仿宋_GB2312" w:hAnsi="仿宋_GB2312" w:eastAsia="仿宋_GB2312" w:cs="仿宋_GB2312"/>
                <w:color w:val="000000"/>
                <w:kern w:val="0"/>
                <w:szCs w:val="21"/>
                <w:highlight w:val="none"/>
                <w:u w:val="none"/>
                <w:shd w:val="clear" w:color="auto" w:fill="auto"/>
                <w:lang w:val="en-US" w:eastAsia="zh-CN" w:bidi="ar"/>
              </w:rPr>
              <w:t>1.</w:t>
            </w:r>
            <w:r>
              <w:rPr>
                <w:rFonts w:hint="eastAsia" w:ascii="仿宋_GB2312" w:hAnsi="仿宋_GB2312" w:eastAsia="仿宋_GB2312" w:cs="仿宋_GB2312"/>
                <w:color w:val="000000"/>
                <w:kern w:val="0"/>
                <w:szCs w:val="21"/>
                <w:highlight w:val="none"/>
                <w:u w:val="none"/>
                <w:shd w:val="clear" w:color="auto" w:fill="auto"/>
                <w:lang w:bidi="ar"/>
              </w:rPr>
              <w:t>项目负责人的综合素质能力，</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有过类似公共卫生领域同类项目经验（</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大数据质控核查</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val="en-US" w:eastAsia="zh-CN" w:bidi="ar"/>
              </w:rPr>
              <w:t>或</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国家基本公共卫生服务知晓率、满意度调查</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项目），工作经验证明须提供服务项目合同（含签订合同双方的单位名称、合同项目名称、含签订合同双方的落款盖章、签订日期的关键页）复印件、项目负责人</w:t>
            </w:r>
            <w:r>
              <w:rPr>
                <w:rFonts w:hint="eastAsia" w:ascii="仿宋_GB2312" w:hAnsi="仿宋_GB2312" w:eastAsia="仿宋_GB2312" w:cs="仿宋_GB2312"/>
                <w:color w:val="000000"/>
                <w:kern w:val="0"/>
                <w:szCs w:val="21"/>
                <w:highlight w:val="none"/>
                <w:u w:val="none"/>
                <w:shd w:val="clear" w:color="auto" w:fill="auto"/>
                <w:lang w:val="en-US" w:eastAsia="zh-CN" w:bidi="ar"/>
              </w:rPr>
              <w:t>近三个月任意一个月的</w:t>
            </w:r>
            <w:r>
              <w:rPr>
                <w:rFonts w:hint="eastAsia" w:ascii="仿宋_GB2312" w:hAnsi="仿宋_GB2312" w:eastAsia="仿宋_GB2312" w:cs="仿宋_GB2312"/>
                <w:color w:val="000000"/>
                <w:kern w:val="0"/>
                <w:szCs w:val="21"/>
                <w:highlight w:val="none"/>
                <w:u w:val="none"/>
                <w:shd w:val="clear" w:color="auto" w:fill="auto"/>
                <w:lang w:eastAsia="zh-CN" w:bidi="ar"/>
              </w:rPr>
              <w:t>在</w:t>
            </w:r>
            <w:r>
              <w:rPr>
                <w:rFonts w:hint="eastAsia" w:ascii="仿宋_GB2312" w:hAnsi="仿宋_GB2312" w:eastAsia="仿宋_GB2312" w:cs="仿宋_GB2312"/>
                <w:color w:val="000000"/>
                <w:kern w:val="0"/>
                <w:szCs w:val="21"/>
                <w:highlight w:val="none"/>
                <w:u w:val="none"/>
                <w:shd w:val="clear" w:color="auto" w:fill="auto"/>
                <w:lang w:val="en-US" w:eastAsia="zh-CN" w:bidi="ar"/>
              </w:rPr>
              <w:t>响应单位购买社保的证明</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并加盖公章，</w:t>
            </w:r>
            <w:r>
              <w:rPr>
                <w:rFonts w:hint="eastAsia" w:ascii="仿宋_GB2312" w:hAnsi="仿宋_GB2312" w:eastAsia="仿宋_GB2312" w:cs="仿宋_GB2312"/>
                <w:color w:val="000000"/>
                <w:kern w:val="0"/>
                <w:sz w:val="21"/>
                <w:szCs w:val="21"/>
                <w:highlight w:val="none"/>
                <w:u w:val="none"/>
                <w:shd w:val="clear" w:color="auto" w:fill="auto"/>
                <w:lang w:val="en-US" w:eastAsia="zh-CN" w:bidi="ar"/>
              </w:rPr>
              <w:t>每提供一个项目经验得1分。本项最高得3分</w:t>
            </w:r>
            <w:r>
              <w:rPr>
                <w:rFonts w:hint="eastAsia" w:ascii="仿宋_GB2312" w:hAnsi="仿宋_GB2312" w:eastAsia="仿宋_GB2312" w:cs="仿宋_GB2312"/>
                <w:color w:val="000000"/>
                <w:kern w:val="0"/>
                <w:szCs w:val="21"/>
                <w:highlight w:val="none"/>
                <w:u w:val="none"/>
                <w:shd w:val="clear" w:color="auto" w:fill="auto"/>
                <w:lang w:val="en-US" w:eastAsia="zh-CN" w:bidi="ar"/>
              </w:rPr>
              <w:t>。</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未提供不得分。</w:t>
            </w:r>
          </w:p>
          <w:p>
            <w:pPr>
              <w:widowControl/>
              <w:numPr>
                <w:ilvl w:val="-1"/>
                <w:numId w:val="0"/>
              </w:numPr>
              <w:adjustRightInd/>
              <w:snapToGrid/>
              <w:spacing w:line="360" w:lineRule="auto"/>
              <w:ind w:firstLine="0" w:firstLineChars="0"/>
              <w:textAlignment w:val="center"/>
              <w:rPr>
                <w:rFonts w:hint="eastAsia" w:ascii="仿宋_GB2312" w:hAnsi="仿宋_GB2312" w:eastAsia="仿宋_GB2312" w:cs="仿宋_GB2312"/>
                <w:color w:val="000000"/>
                <w:kern w:val="0"/>
                <w:szCs w:val="21"/>
                <w:highlight w:val="none"/>
                <w:u w:val="none"/>
                <w:shd w:val="clear" w:color="auto" w:fill="auto"/>
                <w:lang w:bidi="ar"/>
              </w:rPr>
            </w:pPr>
            <w:r>
              <w:rPr>
                <w:rFonts w:hint="eastAsia" w:ascii="仿宋_GB2312" w:hAnsi="仿宋_GB2312" w:eastAsia="仿宋_GB2312" w:cs="仿宋_GB2312"/>
                <w:color w:val="000000"/>
                <w:kern w:val="0"/>
                <w:szCs w:val="21"/>
                <w:highlight w:val="none"/>
                <w:u w:val="none"/>
                <w:shd w:val="clear" w:color="auto" w:fill="auto"/>
                <w:lang w:val="en-US" w:eastAsia="zh-CN" w:bidi="ar"/>
              </w:rPr>
              <w:t>2.项目组成员响应供应商自有员工应不少于5人，满足此项要求得3分，不足5人不得分。项目组成员具有有</w:t>
            </w:r>
            <w:r>
              <w:rPr>
                <w:rFonts w:hint="eastAsia" w:ascii="仿宋_GB2312" w:hAnsi="仿宋_GB2312" w:eastAsia="仿宋_GB2312" w:cs="仿宋_GB2312"/>
                <w:b w:val="0"/>
                <w:bCs w:val="0"/>
                <w:color w:val="000000"/>
                <w:kern w:val="0"/>
                <w:szCs w:val="21"/>
                <w:highlight w:val="none"/>
                <w:u w:val="none"/>
                <w:shd w:val="clear" w:color="auto" w:fill="auto"/>
                <w:lang w:val="en-US" w:eastAsia="zh-CN" w:bidi="ar"/>
              </w:rPr>
              <w:t>效的计算机技术与软件专业技术资格（水平）考试（软考）证书、数据分析类或统计调查类相关专业资格证书</w:t>
            </w:r>
            <w:r>
              <w:rPr>
                <w:rFonts w:hint="eastAsia" w:ascii="仿宋_GB2312" w:hAnsi="仿宋_GB2312" w:eastAsia="仿宋_GB2312" w:cs="仿宋_GB2312"/>
                <w:color w:val="000000"/>
                <w:kern w:val="0"/>
                <w:szCs w:val="21"/>
                <w:highlight w:val="none"/>
                <w:u w:val="none"/>
                <w:shd w:val="clear" w:color="auto" w:fill="auto"/>
                <w:lang w:val="en-US" w:eastAsia="zh-CN" w:bidi="ar"/>
              </w:rPr>
              <w:t>，每提供一项证书得1分，最高得4分。本项最高得7分。</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仿宋_GB2312" w:hAnsi="仿宋_GB2312" w:eastAsia="仿宋_GB2312" w:cs="仿宋_GB2312"/>
                <w:color w:val="000000"/>
                <w:kern w:val="0"/>
                <w:szCs w:val="21"/>
                <w:highlight w:val="none"/>
                <w:u w:val="none"/>
                <w:shd w:val="clear" w:color="auto" w:fill="auto"/>
                <w:lang w:val="en-US" w:eastAsia="zh-CN" w:bidi="ar"/>
              </w:rPr>
            </w:pPr>
            <w:r>
              <w:rPr>
                <w:rFonts w:hint="eastAsia" w:ascii="仿宋_GB2312" w:hAnsi="仿宋_GB2312" w:eastAsia="仿宋_GB2312" w:cs="仿宋_GB2312"/>
                <w:color w:val="000000"/>
                <w:kern w:val="0"/>
                <w:szCs w:val="21"/>
                <w:highlight w:val="none"/>
                <w:u w:val="none"/>
                <w:shd w:val="clear" w:color="auto" w:fill="auto"/>
                <w:lang w:val="en-US" w:eastAsia="zh-CN" w:bidi="ar"/>
              </w:rPr>
              <w:t>注：须提供相关认证证书的复印件及近三个月</w:t>
            </w:r>
            <w:r>
              <w:rPr>
                <w:rFonts w:hint="eastAsia" w:ascii="仿宋_GB2312" w:hAnsi="仿宋_GB2312" w:eastAsia="仿宋_GB2312" w:cs="仿宋_GB2312"/>
                <w:color w:val="000000"/>
                <w:kern w:val="0"/>
                <w:szCs w:val="21"/>
                <w:highlight w:val="none"/>
                <w:u w:val="none"/>
                <w:shd w:val="clear" w:color="auto" w:fill="auto"/>
                <w:lang w:eastAsia="zh-CN" w:bidi="ar"/>
              </w:rPr>
              <w:t>在</w:t>
            </w:r>
            <w:r>
              <w:rPr>
                <w:rFonts w:hint="eastAsia" w:ascii="仿宋_GB2312" w:hAnsi="仿宋_GB2312" w:eastAsia="仿宋_GB2312" w:cs="仿宋_GB2312"/>
                <w:color w:val="000000"/>
                <w:kern w:val="0"/>
                <w:szCs w:val="21"/>
                <w:highlight w:val="none"/>
                <w:u w:val="none"/>
                <w:shd w:val="clear" w:color="auto" w:fill="auto"/>
                <w:lang w:val="en-US" w:eastAsia="zh-CN" w:bidi="ar"/>
              </w:rPr>
              <w:t>投标人单位购买社保的证明</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并加盖公章</w:t>
            </w:r>
            <w:r>
              <w:rPr>
                <w:rFonts w:hint="eastAsia" w:ascii="仿宋_GB2312" w:hAnsi="仿宋_GB2312" w:eastAsia="仿宋_GB2312" w:cs="仿宋_GB2312"/>
                <w:color w:val="000000"/>
                <w:kern w:val="0"/>
                <w:szCs w:val="21"/>
                <w:highlight w:val="none"/>
                <w:u w:val="none"/>
                <w:shd w:val="clear" w:color="auto" w:fill="auto"/>
                <w:lang w:val="en-US" w:eastAsia="zh-CN" w:bidi="ar"/>
              </w:rPr>
              <w:t>。项目组成员1人持多证不重复计分。</w:t>
            </w:r>
          </w:p>
          <w:p>
            <w:pPr>
              <w:widowControl/>
              <w:ind w:firstLineChars="200"/>
              <w:textAlignment w:val="cente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color w:val="000000"/>
                <w:kern w:val="0"/>
                <w:sz w:val="21"/>
                <w:szCs w:val="21"/>
                <w:highlight w:val="none"/>
                <w:u w:val="none"/>
                <w:shd w:val="clear" w:color="auto" w:fill="auto"/>
                <w:lang w:val="en-US" w:eastAsia="zh-CN" w:bidi="ar"/>
              </w:rPr>
              <w:t>3.项目组成员有过类似公共卫生领域同类调查项目经验，每提供一个项目经验得1分。本项最高得3分。</w:t>
            </w:r>
          </w:p>
          <w:p>
            <w:pPr>
              <w:widowControl/>
              <w:ind w:firstLineChars="200"/>
              <w:textAlignment w:val="cente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注：</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须提供相关证明材料</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val="en-US" w:eastAsia="zh-CN" w:bidi="ar"/>
              </w:rPr>
              <w:t>如</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项目合同（含签订合同双方的单位名称、合同项目名称、含签订合同双方的落款盖章、签订日期的关键页）复印件</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或</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val="en-US" w:eastAsia="zh-CN" w:bidi="ar"/>
              </w:rPr>
              <w:t>相关</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证明材料，证明材料中须体现</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项目组</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成员的姓名，及提</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val="en-US" w:eastAsia="zh-CN" w:bidi="ar"/>
              </w:rPr>
              <w:t>供</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项目组</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成员</w:t>
            </w:r>
            <w:r>
              <w:rPr>
                <w:rFonts w:hint="eastAsia" w:ascii="仿宋_GB2312" w:hAnsi="仿宋_GB2312" w:eastAsia="仿宋_GB2312" w:cs="仿宋_GB2312"/>
                <w:color w:val="000000"/>
                <w:kern w:val="0"/>
                <w:sz w:val="21"/>
                <w:szCs w:val="21"/>
                <w:highlight w:val="none"/>
                <w:u w:val="none"/>
                <w:shd w:val="clear" w:color="auto" w:fill="auto"/>
                <w:lang w:val="en-US" w:eastAsia="zh-CN" w:bidi="ar"/>
              </w:rPr>
              <w:t>近三个月</w:t>
            </w:r>
            <w:r>
              <w:rPr>
                <w:rFonts w:hint="eastAsia" w:ascii="仿宋_GB2312" w:hAnsi="仿宋_GB2312" w:eastAsia="仿宋_GB2312" w:cs="仿宋_GB2312"/>
                <w:color w:val="000000"/>
                <w:kern w:val="0"/>
                <w:sz w:val="21"/>
                <w:szCs w:val="21"/>
                <w:highlight w:val="none"/>
                <w:u w:val="none"/>
                <w:shd w:val="clear" w:color="auto" w:fill="auto"/>
                <w:lang w:eastAsia="zh-CN" w:bidi="ar"/>
              </w:rPr>
              <w:t>在</w:t>
            </w:r>
            <w:r>
              <w:rPr>
                <w:rFonts w:hint="eastAsia" w:ascii="仿宋_GB2312" w:hAnsi="仿宋_GB2312" w:eastAsia="仿宋_GB2312" w:cs="仿宋_GB2312"/>
                <w:color w:val="000000"/>
                <w:kern w:val="0"/>
                <w:sz w:val="21"/>
                <w:szCs w:val="21"/>
                <w:highlight w:val="none"/>
                <w:u w:val="none"/>
                <w:shd w:val="clear" w:color="auto" w:fill="auto"/>
                <w:lang w:val="en-US" w:eastAsia="zh-CN" w:bidi="ar"/>
              </w:rPr>
              <w:t>投标人单位购买社保的证明</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并加盖公章，未提供不得分</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w:t>
            </w:r>
          </w:p>
          <w:p>
            <w:pPr>
              <w:widowControl/>
              <w:jc w:val="both"/>
              <w:textAlignment w:val="center"/>
              <w:rPr>
                <w:rFonts w:hint="eastAsia" w:ascii="仿宋_GB2312" w:hAnsi="仿宋_GB2312" w:eastAsia="仿宋_GB2312" w:cs="仿宋_GB2312"/>
                <w:color w:val="000000"/>
                <w:kern w:val="0"/>
                <w:szCs w:val="21"/>
                <w:highlight w:val="none"/>
                <w:u w:val="none"/>
                <w:shd w:val="clear" w:color="auto" w:fill="auto"/>
                <w:lang w:bidi="ar"/>
              </w:rPr>
            </w:pP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本项评分与业绩项提供相同项目的证明材料不重复得分。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6" w:type="pct"/>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商务部分</w:t>
            </w: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有效业绩</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（20分）</w:t>
            </w:r>
          </w:p>
        </w:tc>
        <w:tc>
          <w:tcPr>
            <w:tcW w:w="37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hd w:val="clear"/>
              <w:adjustRightInd/>
              <w:snapToGrid/>
              <w:spacing w:line="240" w:lineRule="auto"/>
              <w:textAlignment w:val="cente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响应供应商近年</w:t>
            </w:r>
            <w:r>
              <w:rPr>
                <w:rFonts w:hint="eastAsia" w:ascii="仿宋_GB2312" w:hAnsi="仿宋_GB2312" w:eastAsia="仿宋_GB2312" w:cs="仿宋_GB2312"/>
                <w:b w:val="0"/>
                <w:bCs w:val="0"/>
                <w:color w:val="000000"/>
                <w:kern w:val="0"/>
                <w:szCs w:val="21"/>
                <w:highlight w:val="none"/>
                <w:u w:val="none"/>
                <w:shd w:val="clear" w:color="auto" w:fill="auto"/>
                <w:lang w:bidi="ar"/>
              </w:rPr>
              <w:t>（以合同签订日期为准，自202</w:t>
            </w:r>
            <w:r>
              <w:rPr>
                <w:rFonts w:hint="eastAsia" w:ascii="仿宋_GB2312" w:hAnsi="仿宋_GB2312" w:eastAsia="仿宋_GB2312" w:cs="仿宋_GB2312"/>
                <w:b w:val="0"/>
                <w:bCs w:val="0"/>
                <w:color w:val="000000"/>
                <w:kern w:val="0"/>
                <w:szCs w:val="21"/>
                <w:highlight w:val="none"/>
                <w:u w:val="none"/>
                <w:shd w:val="clear" w:color="auto" w:fill="auto"/>
                <w:lang w:val="en-US" w:eastAsia="zh-CN" w:bidi="ar"/>
              </w:rPr>
              <w:t>3</w:t>
            </w:r>
            <w:r>
              <w:rPr>
                <w:rFonts w:hint="eastAsia" w:ascii="仿宋_GB2312" w:hAnsi="仿宋_GB2312" w:eastAsia="仿宋_GB2312" w:cs="仿宋_GB2312"/>
                <w:b w:val="0"/>
                <w:bCs w:val="0"/>
                <w:color w:val="000000"/>
                <w:kern w:val="0"/>
                <w:szCs w:val="21"/>
                <w:highlight w:val="none"/>
                <w:u w:val="none"/>
                <w:shd w:val="clear" w:color="auto" w:fill="auto"/>
                <w:lang w:bidi="ar"/>
              </w:rPr>
              <w:t>年1月1日起至今）</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承接过类似公共卫生领域同类服务（</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大数据质控核查</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val="en-US" w:eastAsia="zh-CN" w:bidi="ar"/>
              </w:rPr>
              <w:t>或</w:t>
            </w:r>
            <w:r>
              <w:rPr>
                <w:rFonts w:hint="eastAsia" w:ascii="仿宋_GB2312" w:hAnsi="仿宋_GB2312" w:eastAsia="仿宋_GB2312" w:cs="仿宋_GB2312"/>
                <w:i w:val="0"/>
                <w:iCs w:val="0"/>
                <w:caps w:val="0"/>
                <w:color w:val="000000"/>
                <w:spacing w:val="0"/>
                <w:kern w:val="0"/>
                <w:sz w:val="21"/>
                <w:szCs w:val="21"/>
                <w:highlight w:val="none"/>
                <w:u w:val="none"/>
                <w:shd w:val="clear" w:color="auto" w:fill="auto"/>
                <w:lang w:bidi="ar"/>
              </w:rPr>
              <w:t>国家基本公共卫生服务知晓率、满意度调查</w:t>
            </w: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 xml:space="preserve">项目），每提供一项得2分，最高20分。 </w:t>
            </w:r>
          </w:p>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注：提供合同复印件（包含首末页及服务内容）及合同任意一期发票复印件并加盖公章，一份合同及一期发票视为一项得分，不提供不得分。原件备查。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6" w:type="pct"/>
            <w:vMerge w:val="continue"/>
            <w:tcBorders>
              <w:left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1"/>
                <w:szCs w:val="21"/>
                <w:highlight w:val="none"/>
                <w:u w:val="none"/>
                <w:shd w:val="clear" w:color="auto" w:fill="auto"/>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综合实力</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（10分）</w:t>
            </w:r>
          </w:p>
        </w:tc>
        <w:tc>
          <w:tcPr>
            <w:tcW w:w="3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本次基本公共卫生服务全量数据核查项目涉及大量数据的交互和处理，因此需要供应商提供以下证明资料，以确保数据的安全性和准确性。</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1.具有有效的“质量管理体系认证证书”，得2分。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备注：响应文件中提供认证证书复印件或提供以上认证在“全国认证认可信息公共服务平台”的查询截图（网址：http：//cx.cnca.cn/CertECloud/result/skipResultList），截图必须含有“证书编号”“证书状态”的内容，截图中的“证书状态”应处于“有效”状态；（2）如因供应商成立时间不足导致无法获得相关认证，请提供有认证机构出具“因成立时间不足，无法办理认证”的相关证明材料，视为已获得计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2.具有有效的信息安全管理体系认证证书，得2分。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3.提供含有“数据质控、语音质检或满意度调查”同类功能描述内容的软件著作权，每提供一个得2分，最高得6分。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备注：响应文件中提供由中华人民共和国国家版权局颁发的《软件著作权登记证书》扫描件并加盖公章，未按要求提供或提供不清晰导致专家无法判断的不得分。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26" w:type="pct"/>
            <w:vMerge w:val="continue"/>
            <w:tcBorders>
              <w:left w:val="single" w:color="000000" w:sz="4" w:space="0"/>
              <w:bottom w:val="single" w:color="000000" w:sz="4" w:space="0"/>
              <w:right w:val="single" w:color="000000" w:sz="4" w:space="0"/>
            </w:tcBorders>
            <w:shd w:val="clear" w:color="auto" w:fill="auto"/>
            <w:vAlign w:val="center"/>
          </w:tcPr>
          <w:p>
            <w:pPr>
              <w:numPr>
                <w:ilvl w:val="-1"/>
                <w:numId w:val="0"/>
              </w:numPr>
              <w:snapToGrid w:val="0"/>
              <w:ind w:left="0" w:leftChars="0" w:firstLine="0" w:firstLineChars="0"/>
              <w:jc w:val="both"/>
              <w:rPr>
                <w:rFonts w:hint="eastAsia" w:ascii="仿宋_GB2312" w:hAnsi="仿宋_GB2312" w:eastAsia="仿宋_GB2312" w:cs="仿宋_GB2312"/>
                <w:i w:val="0"/>
                <w:iCs w:val="0"/>
                <w:color w:val="000000"/>
                <w:sz w:val="21"/>
                <w:szCs w:val="21"/>
                <w:highlight w:val="none"/>
                <w:u w:val="none"/>
                <w:shd w:val="clear" w:color="auto" w:fill="auto"/>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240" w:lineRule="auto"/>
              <w:ind w:firstLine="0" w:firstLineChars="0"/>
              <w:jc w:val="both"/>
              <w:textAlignment w:val="cente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服务响应</w:t>
            </w:r>
          </w:p>
          <w:p>
            <w:pPr>
              <w:keepNext w:val="0"/>
              <w:keepLines w:val="0"/>
              <w:pageBreakBefore w:val="0"/>
              <w:widowControl/>
              <w:suppressLineNumbers w:val="0"/>
              <w:kinsoku/>
              <w:wordWrap/>
              <w:overflowPunct/>
              <w:topLinePunct w:val="0"/>
              <w:bidi w:val="0"/>
              <w:adjustRightInd/>
              <w:snapToGrid/>
              <w:spacing w:line="240" w:lineRule="auto"/>
              <w:ind w:firstLine="0" w:firstLineChars="0"/>
              <w:jc w:val="both"/>
              <w:textAlignment w:val="center"/>
              <w:rPr>
                <w:rFonts w:hint="default"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时间（10分）</w:t>
            </w:r>
          </w:p>
        </w:tc>
        <w:tc>
          <w:tcPr>
            <w:tcW w:w="3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360" w:lineRule="auto"/>
              <w:ind w:firstLine="0" w:firstLineChars="0"/>
              <w:textAlignment w:val="cente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根据响应人的服务响应时间进行评分： 响应供应商承诺接到采购人通知后30分钟内（含）响应并及时到达采购人指定地点，得10分；</w:t>
            </w:r>
          </w:p>
          <w:p>
            <w:pPr>
              <w:keepNext w:val="0"/>
              <w:keepLines w:val="0"/>
              <w:pageBreakBefore w:val="0"/>
              <w:widowControl/>
              <w:kinsoku/>
              <w:wordWrap/>
              <w:overflowPunct/>
              <w:topLinePunct w:val="0"/>
              <w:bidi w:val="0"/>
              <w:adjustRightInd/>
              <w:snapToGrid/>
              <w:spacing w:line="360" w:lineRule="auto"/>
              <w:ind w:firstLine="0" w:firstLineChars="0"/>
              <w:textAlignment w:val="cente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响应供应商承诺接到采购人通知后30分钟（不含）～1小时内（含）响应并及时到达采购人指定地点，得6分；</w:t>
            </w:r>
          </w:p>
          <w:p>
            <w:pPr>
              <w:keepNext w:val="0"/>
              <w:keepLines w:val="0"/>
              <w:pageBreakBefore w:val="0"/>
              <w:widowControl/>
              <w:kinsoku/>
              <w:wordWrap/>
              <w:overflowPunct/>
              <w:topLinePunct w:val="0"/>
              <w:bidi w:val="0"/>
              <w:adjustRightInd/>
              <w:snapToGrid/>
              <w:spacing w:line="360" w:lineRule="auto"/>
              <w:ind w:firstLine="0" w:firstLineChars="0"/>
              <w:textAlignment w:val="cente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 xml:space="preserve">响应供应商承诺接到采购人通知后1小时（不含）～2小时内（含）响应并及时到达采购人指定地点，得2分； </w:t>
            </w:r>
          </w:p>
          <w:p>
            <w:pPr>
              <w:keepNext w:val="0"/>
              <w:keepLines w:val="0"/>
              <w:pageBreakBefore w:val="0"/>
              <w:widowControl/>
              <w:suppressLineNumbers w:val="0"/>
              <w:kinsoku/>
              <w:wordWrap/>
              <w:overflowPunct/>
              <w:topLinePunct w:val="0"/>
              <w:bidi w:val="0"/>
              <w:spacing w:line="360" w:lineRule="auto"/>
              <w:ind w:firstLine="0" w:firstLineChars="0"/>
              <w:jc w:val="both"/>
              <w:textAlignment w:val="cente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响应供应商承诺接到采购人通知后2小时（不含）以上响应并及时到达采购人指定地点或没有提供的不得分。</w:t>
            </w:r>
          </w:p>
          <w:p>
            <w:pPr>
              <w:keepNext w:val="0"/>
              <w:keepLines w:val="0"/>
              <w:pageBreakBefore w:val="0"/>
              <w:widowControl/>
              <w:suppressLineNumbers w:val="0"/>
              <w:kinsoku/>
              <w:wordWrap/>
              <w:overflowPunct/>
              <w:topLinePunct w:val="0"/>
              <w:bidi w:val="0"/>
              <w:spacing w:line="360" w:lineRule="auto"/>
              <w:ind w:firstLine="0" w:firstLineChars="0"/>
              <w:jc w:val="both"/>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b w:val="0"/>
                <w:bCs w:val="0"/>
                <w:color w:val="000000"/>
                <w:kern w:val="0"/>
                <w:sz w:val="21"/>
                <w:szCs w:val="21"/>
                <w:highlight w:val="none"/>
                <w:u w:val="none"/>
                <w:shd w:val="clear" w:color="auto" w:fill="auto"/>
                <w:lang w:val="en-US" w:eastAsia="zh-CN" w:bidi="ar"/>
              </w:rPr>
              <w:t>响应供应商提供承诺函加盖公章。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报价</w:t>
            </w: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报价得分</w:t>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（10分）</w:t>
            </w:r>
          </w:p>
        </w:tc>
        <w:tc>
          <w:tcPr>
            <w:tcW w:w="3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综合评审项目价格分权重为10%。价格分统一采用低价优先法计算，即满足综合评审文件要求且报价最低的报价为基准价，其价格分为满分。其他响应供应商的价格分统一按照下列公式计算：</w:t>
            </w:r>
          </w:p>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报价得分=（基准价／最后报价）×100×价格权重</w:t>
            </w:r>
          </w:p>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备注：</w:t>
            </w:r>
          </w:p>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1.报价得分四舍五入后，小数点后保留两位有效数；</w:t>
            </w:r>
          </w:p>
          <w:p>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highlight w:val="none"/>
                <w:u w:val="none"/>
                <w:shd w:val="clear" w:color="auto" w:fill="auto"/>
              </w:rPr>
            </w:pPr>
            <w:r>
              <w:rPr>
                <w:rFonts w:hint="eastAsia" w:ascii="仿宋_GB2312" w:hAnsi="仿宋_GB2312" w:eastAsia="仿宋_GB2312" w:cs="仿宋_GB2312"/>
                <w:i w:val="0"/>
                <w:iCs w:val="0"/>
                <w:color w:val="000000"/>
                <w:kern w:val="0"/>
                <w:sz w:val="21"/>
                <w:szCs w:val="21"/>
                <w:highlight w:val="none"/>
                <w:u w:val="none"/>
                <w:shd w:val="clear" w:color="auto" w:fill="auto"/>
                <w:lang w:val="en-US" w:eastAsia="zh-CN" w:bidi="ar"/>
              </w:rPr>
              <w:t>2.供应商的报价明显低于其他供应商报价，有可能影响项目质量或者不能诚信履约的，采购方将要求其在合理的时间内提供书面说明，必要时提交相关证明材料；供应商不能证明其报价合理性的，评审委员会应当将其作为无效响应处理，取消其继续参与评审的资格。</w:t>
            </w:r>
          </w:p>
        </w:tc>
      </w:tr>
    </w:tbl>
    <w:p/>
    <w:sectPr>
      <w:footerReference r:id="rId5" w:type="default"/>
      <w:pgSz w:w="11906" w:h="16838"/>
      <w:pgMar w:top="2041" w:right="1531" w:bottom="2041"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E2175"/>
    <w:rsid w:val="00522102"/>
    <w:rsid w:val="00824069"/>
    <w:rsid w:val="03C03826"/>
    <w:rsid w:val="0DDE3227"/>
    <w:rsid w:val="0E676D31"/>
    <w:rsid w:val="0E7772CD"/>
    <w:rsid w:val="0EA77ABC"/>
    <w:rsid w:val="108B39B5"/>
    <w:rsid w:val="11152AD3"/>
    <w:rsid w:val="125205A9"/>
    <w:rsid w:val="12B25C29"/>
    <w:rsid w:val="13632EEB"/>
    <w:rsid w:val="13F05A62"/>
    <w:rsid w:val="1C432E6C"/>
    <w:rsid w:val="1EBF49AE"/>
    <w:rsid w:val="1FD17977"/>
    <w:rsid w:val="20384A18"/>
    <w:rsid w:val="206B2A19"/>
    <w:rsid w:val="22671B8E"/>
    <w:rsid w:val="241D26AD"/>
    <w:rsid w:val="25D06CD1"/>
    <w:rsid w:val="25ED4163"/>
    <w:rsid w:val="260E3549"/>
    <w:rsid w:val="265005E2"/>
    <w:rsid w:val="268F110A"/>
    <w:rsid w:val="26AB5818"/>
    <w:rsid w:val="2B365FF8"/>
    <w:rsid w:val="2C9B3BF3"/>
    <w:rsid w:val="2D424634"/>
    <w:rsid w:val="2D4C4AC5"/>
    <w:rsid w:val="2DD65871"/>
    <w:rsid w:val="2ED86F8A"/>
    <w:rsid w:val="2F3A598B"/>
    <w:rsid w:val="2F5D4ACE"/>
    <w:rsid w:val="2F936653"/>
    <w:rsid w:val="30D817A3"/>
    <w:rsid w:val="31436D79"/>
    <w:rsid w:val="31BB7257"/>
    <w:rsid w:val="34990BE5"/>
    <w:rsid w:val="34E310CD"/>
    <w:rsid w:val="38B139C9"/>
    <w:rsid w:val="39007C46"/>
    <w:rsid w:val="3BEF64A3"/>
    <w:rsid w:val="3BF85A90"/>
    <w:rsid w:val="3D0C997C"/>
    <w:rsid w:val="3D304FEA"/>
    <w:rsid w:val="3F1B7587"/>
    <w:rsid w:val="3F535259"/>
    <w:rsid w:val="3FBFE965"/>
    <w:rsid w:val="40D20119"/>
    <w:rsid w:val="413B2328"/>
    <w:rsid w:val="4441183E"/>
    <w:rsid w:val="495913D8"/>
    <w:rsid w:val="4AC155F1"/>
    <w:rsid w:val="4B243214"/>
    <w:rsid w:val="4B6C340C"/>
    <w:rsid w:val="4BBFE25B"/>
    <w:rsid w:val="507654D1"/>
    <w:rsid w:val="511C73FC"/>
    <w:rsid w:val="5268268C"/>
    <w:rsid w:val="528172AA"/>
    <w:rsid w:val="5382777D"/>
    <w:rsid w:val="54496296"/>
    <w:rsid w:val="55F0546C"/>
    <w:rsid w:val="573E16B1"/>
    <w:rsid w:val="582E3A30"/>
    <w:rsid w:val="59777174"/>
    <w:rsid w:val="5A8F5056"/>
    <w:rsid w:val="5DFF214D"/>
    <w:rsid w:val="5E323725"/>
    <w:rsid w:val="5FF68CDA"/>
    <w:rsid w:val="603F5958"/>
    <w:rsid w:val="60BE40C4"/>
    <w:rsid w:val="613C540F"/>
    <w:rsid w:val="61A565D2"/>
    <w:rsid w:val="62155647"/>
    <w:rsid w:val="62F12229"/>
    <w:rsid w:val="6486265D"/>
    <w:rsid w:val="64980A27"/>
    <w:rsid w:val="66386F2C"/>
    <w:rsid w:val="679F9F25"/>
    <w:rsid w:val="67EBACD6"/>
    <w:rsid w:val="6BED679D"/>
    <w:rsid w:val="6D481041"/>
    <w:rsid w:val="6DCEBB19"/>
    <w:rsid w:val="710D456B"/>
    <w:rsid w:val="719E532A"/>
    <w:rsid w:val="72457F95"/>
    <w:rsid w:val="745E2175"/>
    <w:rsid w:val="752D36AD"/>
    <w:rsid w:val="767F9A32"/>
    <w:rsid w:val="76FD2BA2"/>
    <w:rsid w:val="7A5F7C75"/>
    <w:rsid w:val="7BDE7CF1"/>
    <w:rsid w:val="7BEADA21"/>
    <w:rsid w:val="7BEB3B32"/>
    <w:rsid w:val="7E276078"/>
    <w:rsid w:val="7FB227FF"/>
    <w:rsid w:val="7FBD5F72"/>
    <w:rsid w:val="7FEC1957"/>
    <w:rsid w:val="B7F9880B"/>
    <w:rsid w:val="BE5D4908"/>
    <w:rsid w:val="C7FFA707"/>
    <w:rsid w:val="D3BB18A0"/>
    <w:rsid w:val="E8FF792C"/>
    <w:rsid w:val="FA7F1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next w:val="4"/>
    <w:unhideWhenUsed/>
    <w:qFormat/>
    <w:uiPriority w:val="99"/>
    <w:pPr>
      <w:ind w:firstLine="420" w:firstLineChars="200"/>
    </w:pPr>
  </w:style>
  <w:style w:type="paragraph" w:styleId="4">
    <w:name w:val="Body Text"/>
    <w:basedOn w:val="1"/>
    <w:next w:val="5"/>
    <w:qFormat/>
    <w:uiPriority w:val="0"/>
    <w:pPr>
      <w:widowControl w:val="0"/>
      <w:spacing w:after="160" w:line="320" w:lineRule="exact"/>
      <w:jc w:val="center"/>
    </w:pPr>
    <w:rPr>
      <w:rFonts w:hint="eastAsia" w:ascii="Times New Roman" w:hAnsi="Times New Roman" w:eastAsia="宋体" w:cs="Times New Roman"/>
      <w:kern w:val="2"/>
      <w:sz w:val="32"/>
      <w:szCs w:val="24"/>
      <w:lang w:val="en-US" w:eastAsia="zh-CN" w:bidi="ar-SA"/>
    </w:rPr>
  </w:style>
  <w:style w:type="paragraph" w:styleId="5">
    <w:name w:val="Title"/>
    <w:basedOn w:val="1"/>
    <w:next w:val="1"/>
    <w:qFormat/>
    <w:uiPriority w:val="0"/>
    <w:pPr>
      <w:widowControl w:val="0"/>
      <w:spacing w:before="240" w:after="60" w:line="278" w:lineRule="auto"/>
      <w:jc w:val="center"/>
      <w:outlineLvl w:val="0"/>
    </w:pPr>
    <w:rPr>
      <w:rFonts w:ascii="Cambria" w:hAnsi="Cambria" w:eastAsia="宋体" w:cs="Times New Roman"/>
      <w:b/>
      <w:bCs/>
      <w:kern w:val="2"/>
      <w:sz w:val="32"/>
      <w:szCs w:val="32"/>
      <w:lang w:val="en-US" w:eastAsia="zh-CN" w:bidi="ar-SA"/>
    </w:rPr>
  </w:style>
  <w:style w:type="paragraph" w:styleId="6">
    <w:name w:val="annotation text"/>
    <w:basedOn w:val="1"/>
    <w:unhideWhenUsed/>
    <w:qFormat/>
    <w:uiPriority w:val="99"/>
    <w:pPr>
      <w:jc w:val="left"/>
    </w:pPr>
  </w:style>
  <w:style w:type="paragraph" w:styleId="7">
    <w:name w:val="Plain Text"/>
    <w:basedOn w:val="1"/>
    <w:qFormat/>
    <w:uiPriority w:val="0"/>
    <w:rPr>
      <w:rFonts w:hAnsi="Courier New"/>
      <w:szCs w:val="20"/>
    </w:rPr>
  </w:style>
  <w:style w:type="paragraph" w:styleId="8">
    <w:name w:val="footer"/>
    <w:basedOn w:val="1"/>
    <w:qFormat/>
    <w:uiPriority w:val="0"/>
    <w:pPr>
      <w:tabs>
        <w:tab w:val="center" w:pos="4153"/>
        <w:tab w:val="right" w:pos="8306"/>
      </w:tabs>
      <w:snapToGrid w:val="0"/>
      <w:spacing w:after="0" w:line="560" w:lineRule="exact"/>
      <w:jc w:val="left"/>
    </w:pPr>
    <w:rPr>
      <w:rFonts w:ascii="Calibri" w:hAnsi="Calibri" w:eastAsia="宋体" w:cs="Times New Roman"/>
      <w:sz w:val="18"/>
      <w:szCs w:val="22"/>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13">
    <w:name w:val="正文缩进2格"/>
    <w:basedOn w:val="1"/>
    <w:next w:val="1"/>
    <w:qFormat/>
    <w:uiPriority w:val="0"/>
    <w:pPr>
      <w:spacing w:line="600" w:lineRule="exact"/>
      <w:ind w:firstLine="639" w:firstLineChars="206"/>
    </w:pPr>
    <w:rPr>
      <w:rFonts w:ascii="仿宋_GB2312" w:hAnsi="宋体" w:eastAsia="仿宋_GB2312"/>
      <w:sz w:val="31"/>
      <w:szCs w:val="2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974</Words>
  <Characters>1043</Characters>
  <Lines>0</Lines>
  <Paragraphs>0</Paragraphs>
  <TotalTime>43</TotalTime>
  <ScaleCrop>false</ScaleCrop>
  <LinksUpToDate>false</LinksUpToDate>
  <CharactersWithSpaces>1046</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2025-01-14T09:16:00Z</dcterms:created>
  <dc:creator>Administrator</dc:creator>
  <cp:lastModifiedBy>黄展翔</cp:lastModifiedBy>
  <cp:lastPrinted>2025-08-08T10:44:00Z</cp:lastPrinted>
  <dcterms:modified xsi:type="dcterms:W3CDTF">2026-10-08T10:50:09Z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79675EC7031E4ADFA0CE72E7765D2E81_13</vt:lpwstr>
  </property>
  <property fmtid="{D5CDD505-2E9C-101B-9397-08002B2CF9AE}" pid="4" name="KSOTemplateDocerSaveRecord">
    <vt:lpwstr>eyJoZGlkIjoiMmYwZGU1MTMzYTg4MzhkYTVlOWEwMWIxMjgyMGI4NGYiLCJ1c2VySWQiOiI2MzI3OTU4NjAifQ==</vt:lpwstr>
  </property>
</Properties>
</file>