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39209B">
      <w:pPr>
        <w:pStyle w:val="9"/>
        <w:keepNext w:val="0"/>
        <w:keepLines w:val="0"/>
        <w:pageBreakBefore w:val="0"/>
        <w:wordWrap/>
        <w:topLinePunct w:val="0"/>
        <w:bidi w:val="0"/>
        <w:spacing w:before="0" w:after="0"/>
        <w:jc w:val="left"/>
        <w:rPr>
          <w:rFonts w:hint="eastAsia" w:ascii="黑体" w:hAnsi="黑体" w:eastAsia="黑体" w:cs="黑体"/>
          <w:b w:val="0"/>
          <w:bCs w:val="0"/>
          <w:lang w:val="en-US" w:eastAsia="zh-CN"/>
        </w:rPr>
      </w:pPr>
      <w:r>
        <w:rPr>
          <w:rFonts w:hint="eastAsia" w:ascii="黑体" w:hAnsi="黑体" w:eastAsia="黑体" w:cs="黑体"/>
          <w:b w:val="0"/>
          <w:bCs w:val="0"/>
          <w:lang w:val="en-US" w:eastAsia="zh-CN"/>
        </w:rPr>
        <w:t>附件2</w:t>
      </w:r>
    </w:p>
    <w:p w14:paraId="4348DC32">
      <w:pPr>
        <w:keepNext w:val="0"/>
        <w:keepLines w:val="0"/>
        <w:pageBreakBefore w:val="0"/>
        <w:wordWrap/>
        <w:topLinePunct w:val="0"/>
        <w:bidi w:val="0"/>
        <w:spacing w:after="0"/>
        <w:jc w:val="center"/>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2.1居民电子健康档案大数据质控核查技术参数要求</w:t>
      </w:r>
    </w:p>
    <w:tbl>
      <w:tblPr>
        <w:tblStyle w:val="10"/>
        <w:tblW w:w="9060" w:type="dxa"/>
        <w:tblInd w:w="0" w:type="dxa"/>
        <w:tblLayout w:type="fixed"/>
        <w:tblCellMar>
          <w:top w:w="0" w:type="dxa"/>
          <w:left w:w="108" w:type="dxa"/>
          <w:bottom w:w="0" w:type="dxa"/>
          <w:right w:w="108" w:type="dxa"/>
        </w:tblCellMar>
      </w:tblPr>
      <w:tblGrid>
        <w:gridCol w:w="1378"/>
        <w:gridCol w:w="1902"/>
        <w:gridCol w:w="1574"/>
        <w:gridCol w:w="4206"/>
      </w:tblGrid>
      <w:tr w14:paraId="3DE247BA">
        <w:tblPrEx>
          <w:tblCellMar>
            <w:top w:w="0" w:type="dxa"/>
            <w:left w:w="108" w:type="dxa"/>
            <w:bottom w:w="0" w:type="dxa"/>
            <w:right w:w="108" w:type="dxa"/>
          </w:tblCellMar>
        </w:tblPrEx>
        <w:trPr>
          <w:trHeight w:val="575" w:hRule="atLeast"/>
        </w:trPr>
        <w:tc>
          <w:tcPr>
            <w:tcW w:w="137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5A23370">
            <w:pPr>
              <w:widowControl/>
              <w:spacing w:line="240" w:lineRule="auto"/>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模块</w:t>
            </w:r>
          </w:p>
        </w:tc>
        <w:tc>
          <w:tcPr>
            <w:tcW w:w="1902" w:type="dxa"/>
            <w:tcBorders>
              <w:top w:val="single" w:color="auto" w:sz="4" w:space="0"/>
              <w:left w:val="nil"/>
              <w:bottom w:val="single" w:color="auto" w:sz="4" w:space="0"/>
              <w:right w:val="single" w:color="auto" w:sz="4" w:space="0"/>
            </w:tcBorders>
            <w:shd w:val="clear" w:color="auto" w:fill="auto"/>
            <w:vAlign w:val="bottom"/>
          </w:tcPr>
          <w:p w14:paraId="4724673F">
            <w:pPr>
              <w:widowControl/>
              <w:spacing w:line="240" w:lineRule="auto"/>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功能点</w:t>
            </w:r>
          </w:p>
        </w:tc>
        <w:tc>
          <w:tcPr>
            <w:tcW w:w="5780" w:type="dxa"/>
            <w:gridSpan w:val="2"/>
            <w:tcBorders>
              <w:top w:val="single" w:color="auto" w:sz="4" w:space="0"/>
              <w:left w:val="nil"/>
              <w:bottom w:val="single" w:color="auto" w:sz="4" w:space="0"/>
              <w:right w:val="single" w:color="auto" w:sz="4" w:space="0"/>
            </w:tcBorders>
            <w:shd w:val="clear" w:color="auto" w:fill="auto"/>
            <w:vAlign w:val="bottom"/>
          </w:tcPr>
          <w:p w14:paraId="57CC064F">
            <w:pPr>
              <w:widowControl/>
              <w:spacing w:line="240" w:lineRule="auto"/>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功能介绍</w:t>
            </w:r>
          </w:p>
        </w:tc>
      </w:tr>
      <w:tr w14:paraId="14520A25">
        <w:tblPrEx>
          <w:tblCellMar>
            <w:top w:w="0" w:type="dxa"/>
            <w:left w:w="108" w:type="dxa"/>
            <w:bottom w:w="0" w:type="dxa"/>
            <w:right w:w="108" w:type="dxa"/>
          </w:tblCellMar>
        </w:tblPrEx>
        <w:trPr>
          <w:trHeight w:val="540" w:hRule="atLeast"/>
        </w:trPr>
        <w:tc>
          <w:tcPr>
            <w:tcW w:w="1378" w:type="dxa"/>
            <w:vMerge w:val="restart"/>
            <w:tcBorders>
              <w:top w:val="nil"/>
              <w:left w:val="single" w:color="auto" w:sz="4" w:space="0"/>
              <w:bottom w:val="single" w:color="auto" w:sz="4" w:space="0"/>
              <w:right w:val="single" w:color="auto" w:sz="4" w:space="0"/>
            </w:tcBorders>
            <w:shd w:val="clear" w:color="auto" w:fill="auto"/>
            <w:noWrap/>
            <w:vAlign w:val="center"/>
          </w:tcPr>
          <w:p w14:paraId="59A4ABED">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规则管理</w:t>
            </w:r>
          </w:p>
        </w:tc>
        <w:tc>
          <w:tcPr>
            <w:tcW w:w="1902" w:type="dxa"/>
            <w:tcBorders>
              <w:top w:val="single" w:color="auto" w:sz="4" w:space="0"/>
              <w:left w:val="nil"/>
              <w:bottom w:val="single" w:color="auto" w:sz="4" w:space="0"/>
              <w:right w:val="single" w:color="auto" w:sz="4" w:space="0"/>
            </w:tcBorders>
            <w:shd w:val="clear" w:color="auto" w:fill="auto"/>
            <w:vAlign w:val="center"/>
          </w:tcPr>
          <w:p w14:paraId="52B96EAC">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规则原型查询</w:t>
            </w:r>
          </w:p>
        </w:tc>
        <w:tc>
          <w:tcPr>
            <w:tcW w:w="5780" w:type="dxa"/>
            <w:gridSpan w:val="2"/>
            <w:tcBorders>
              <w:top w:val="nil"/>
              <w:left w:val="nil"/>
              <w:bottom w:val="single" w:color="auto" w:sz="4" w:space="0"/>
              <w:right w:val="single" w:color="auto" w:sz="4" w:space="0"/>
            </w:tcBorders>
            <w:shd w:val="clear" w:color="auto" w:fill="auto"/>
            <w:vAlign w:val="bottom"/>
          </w:tcPr>
          <w:p w14:paraId="29988D53">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建立健康档案数据检查规则，</w:t>
            </w:r>
            <w:r>
              <w:rPr>
                <w:rFonts w:hint="eastAsia" w:ascii="宋体" w:hAnsi="宋体" w:cs="宋体"/>
                <w:kern w:val="0"/>
                <w:sz w:val="21"/>
                <w:szCs w:val="21"/>
                <w:lang w:eastAsia="zh-CN"/>
              </w:rPr>
              <w:t>筛查</w:t>
            </w:r>
            <w:r>
              <w:rPr>
                <w:rFonts w:hint="eastAsia" w:ascii="宋体" w:hAnsi="宋体" w:eastAsia="宋体" w:cs="宋体"/>
                <w:kern w:val="0"/>
                <w:sz w:val="21"/>
                <w:szCs w:val="21"/>
              </w:rPr>
              <w:t>规则应满足广东省</w:t>
            </w:r>
            <w:r>
              <w:rPr>
                <w:rFonts w:hint="eastAsia" w:ascii="宋体" w:hAnsi="宋体" w:cs="宋体"/>
                <w:kern w:val="0"/>
                <w:sz w:val="21"/>
                <w:szCs w:val="21"/>
                <w:lang w:val="en-US" w:eastAsia="zh-CN"/>
              </w:rPr>
              <w:t>基本公共卫生服务项目管理</w:t>
            </w:r>
            <w:r>
              <w:rPr>
                <w:rFonts w:hint="eastAsia" w:ascii="宋体" w:hAnsi="宋体" w:eastAsia="宋体" w:cs="宋体"/>
                <w:kern w:val="0"/>
                <w:sz w:val="21"/>
                <w:szCs w:val="21"/>
              </w:rPr>
              <w:t>要求，并支持按规则分类、规则路径、规则描述、状态等关键词查询规则原型。</w:t>
            </w:r>
          </w:p>
        </w:tc>
      </w:tr>
      <w:tr w14:paraId="6F7CDD0D">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7FE28A0F">
            <w:pPr>
              <w:widowControl/>
              <w:jc w:val="center"/>
              <w:rPr>
                <w:rFonts w:hint="eastAsia" w:ascii="宋体" w:hAnsi="宋体" w:eastAsia="宋体" w:cs="宋体"/>
                <w:kern w:val="0"/>
                <w:sz w:val="21"/>
                <w:szCs w:val="21"/>
              </w:rPr>
            </w:pPr>
          </w:p>
        </w:tc>
        <w:tc>
          <w:tcPr>
            <w:tcW w:w="1902" w:type="dxa"/>
            <w:tcBorders>
              <w:top w:val="single" w:color="auto" w:sz="4" w:space="0"/>
              <w:left w:val="nil"/>
              <w:bottom w:val="single" w:color="auto" w:sz="4" w:space="0"/>
              <w:right w:val="single" w:color="auto" w:sz="4" w:space="0"/>
            </w:tcBorders>
            <w:shd w:val="clear" w:color="auto" w:fill="auto"/>
            <w:vAlign w:val="center"/>
          </w:tcPr>
          <w:p w14:paraId="6C0DB7DA">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规则原型编辑</w:t>
            </w:r>
          </w:p>
        </w:tc>
        <w:tc>
          <w:tcPr>
            <w:tcW w:w="5780" w:type="dxa"/>
            <w:gridSpan w:val="2"/>
            <w:tcBorders>
              <w:top w:val="nil"/>
              <w:left w:val="nil"/>
              <w:bottom w:val="single" w:color="auto" w:sz="4" w:space="0"/>
              <w:right w:val="single" w:color="auto" w:sz="4" w:space="0"/>
            </w:tcBorders>
            <w:shd w:val="clear" w:color="auto" w:fill="auto"/>
            <w:vAlign w:val="bottom"/>
          </w:tcPr>
          <w:p w14:paraId="62D9078D">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支持对规则名称、规则提示语进行编辑维护，</w:t>
            </w:r>
          </w:p>
        </w:tc>
      </w:tr>
      <w:tr w14:paraId="2E3B458C">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7CFFB525">
            <w:pPr>
              <w:widowControl/>
              <w:jc w:val="center"/>
              <w:rPr>
                <w:rFonts w:hint="eastAsia" w:ascii="宋体" w:hAnsi="宋体" w:eastAsia="宋体" w:cs="宋体"/>
                <w:kern w:val="0"/>
                <w:sz w:val="21"/>
                <w:szCs w:val="21"/>
              </w:rPr>
            </w:pPr>
          </w:p>
        </w:tc>
        <w:tc>
          <w:tcPr>
            <w:tcW w:w="1902" w:type="dxa"/>
            <w:tcBorders>
              <w:top w:val="single" w:color="auto" w:sz="4" w:space="0"/>
              <w:left w:val="nil"/>
              <w:bottom w:val="single" w:color="auto" w:sz="4" w:space="0"/>
              <w:right w:val="single" w:color="auto" w:sz="4" w:space="0"/>
            </w:tcBorders>
            <w:shd w:val="clear" w:color="auto" w:fill="auto"/>
            <w:vAlign w:val="center"/>
          </w:tcPr>
          <w:p w14:paraId="3473B712">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规则原型启用停用</w:t>
            </w:r>
          </w:p>
        </w:tc>
        <w:tc>
          <w:tcPr>
            <w:tcW w:w="5780" w:type="dxa"/>
            <w:gridSpan w:val="2"/>
            <w:tcBorders>
              <w:top w:val="nil"/>
              <w:left w:val="nil"/>
              <w:bottom w:val="single" w:color="auto" w:sz="4" w:space="0"/>
              <w:right w:val="single" w:color="auto" w:sz="4" w:space="0"/>
            </w:tcBorders>
            <w:shd w:val="clear" w:color="auto" w:fill="auto"/>
            <w:vAlign w:val="bottom"/>
          </w:tcPr>
          <w:p w14:paraId="1B6A9057">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支持对规则原型状态控制，能够设置规则原型启用或停用。</w:t>
            </w:r>
          </w:p>
        </w:tc>
      </w:tr>
      <w:tr w14:paraId="0D862A15">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502A6621">
            <w:pPr>
              <w:widowControl/>
              <w:jc w:val="center"/>
              <w:rPr>
                <w:rFonts w:hint="eastAsia" w:ascii="宋体" w:hAnsi="宋体" w:eastAsia="宋体" w:cs="宋体"/>
                <w:kern w:val="0"/>
                <w:sz w:val="21"/>
                <w:szCs w:val="21"/>
              </w:rPr>
            </w:pPr>
          </w:p>
        </w:tc>
        <w:tc>
          <w:tcPr>
            <w:tcW w:w="1902" w:type="dxa"/>
            <w:tcBorders>
              <w:top w:val="single" w:color="auto" w:sz="4" w:space="0"/>
              <w:left w:val="nil"/>
              <w:bottom w:val="single" w:color="auto" w:sz="4" w:space="0"/>
              <w:right w:val="single" w:color="auto" w:sz="4" w:space="0"/>
            </w:tcBorders>
            <w:shd w:val="clear" w:color="auto" w:fill="auto"/>
            <w:vAlign w:val="center"/>
          </w:tcPr>
          <w:p w14:paraId="1104E681">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规则设置</w:t>
            </w:r>
          </w:p>
        </w:tc>
        <w:tc>
          <w:tcPr>
            <w:tcW w:w="5780" w:type="dxa"/>
            <w:gridSpan w:val="2"/>
            <w:tcBorders>
              <w:top w:val="nil"/>
              <w:left w:val="nil"/>
              <w:bottom w:val="single" w:color="auto" w:sz="4" w:space="0"/>
              <w:right w:val="single" w:color="auto" w:sz="4" w:space="0"/>
            </w:tcBorders>
            <w:shd w:val="clear" w:color="auto" w:fill="auto"/>
            <w:vAlign w:val="bottom"/>
          </w:tcPr>
          <w:p w14:paraId="05E247DD">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支持对规则状态、规则类型、规则级别等信息进行设置维护</w:t>
            </w:r>
          </w:p>
        </w:tc>
      </w:tr>
      <w:tr w14:paraId="5833694C">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768218E2">
            <w:pPr>
              <w:widowControl/>
              <w:jc w:val="center"/>
              <w:rPr>
                <w:rFonts w:hint="eastAsia" w:ascii="宋体" w:hAnsi="宋体" w:eastAsia="宋体" w:cs="宋体"/>
                <w:kern w:val="0"/>
                <w:sz w:val="21"/>
                <w:szCs w:val="21"/>
              </w:rPr>
            </w:pPr>
          </w:p>
        </w:tc>
        <w:tc>
          <w:tcPr>
            <w:tcW w:w="1902" w:type="dxa"/>
            <w:tcBorders>
              <w:top w:val="single" w:color="auto" w:sz="4" w:space="0"/>
              <w:left w:val="nil"/>
              <w:bottom w:val="single" w:color="auto" w:sz="4" w:space="0"/>
              <w:right w:val="single" w:color="auto" w:sz="4" w:space="0"/>
            </w:tcBorders>
            <w:shd w:val="clear" w:color="auto" w:fill="auto"/>
            <w:vAlign w:val="center"/>
          </w:tcPr>
          <w:p w14:paraId="2990BBF9">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规则参数设置</w:t>
            </w:r>
          </w:p>
        </w:tc>
        <w:tc>
          <w:tcPr>
            <w:tcW w:w="5780" w:type="dxa"/>
            <w:gridSpan w:val="2"/>
            <w:tcBorders>
              <w:top w:val="nil"/>
              <w:left w:val="nil"/>
              <w:bottom w:val="single" w:color="auto" w:sz="4" w:space="0"/>
              <w:right w:val="single" w:color="auto" w:sz="4" w:space="0"/>
            </w:tcBorders>
            <w:shd w:val="clear" w:color="auto" w:fill="auto"/>
            <w:vAlign w:val="bottom"/>
          </w:tcPr>
          <w:p w14:paraId="1D54F7A5">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为方便应对在</w:t>
            </w:r>
            <w:r>
              <w:rPr>
                <w:rFonts w:hint="eastAsia" w:ascii="宋体" w:hAnsi="宋体" w:cs="宋体"/>
                <w:kern w:val="0"/>
                <w:sz w:val="21"/>
                <w:szCs w:val="21"/>
                <w:lang w:eastAsia="zh-CN"/>
              </w:rPr>
              <w:t>筛查</w:t>
            </w:r>
            <w:r>
              <w:rPr>
                <w:rFonts w:hint="eastAsia" w:ascii="宋体" w:hAnsi="宋体" w:eastAsia="宋体" w:cs="宋体"/>
                <w:kern w:val="0"/>
                <w:sz w:val="21"/>
                <w:szCs w:val="21"/>
              </w:rPr>
              <w:t>过程中的规则调整，优先以满足</w:t>
            </w:r>
            <w:r>
              <w:rPr>
                <w:rFonts w:hint="eastAsia" w:ascii="宋体" w:hAnsi="宋体" w:cs="宋体"/>
                <w:kern w:val="0"/>
                <w:sz w:val="21"/>
                <w:szCs w:val="21"/>
                <w:lang w:val="en-US" w:eastAsia="zh-CN"/>
              </w:rPr>
              <w:t>筛查</w:t>
            </w:r>
            <w:r>
              <w:rPr>
                <w:rFonts w:hint="eastAsia" w:ascii="宋体" w:hAnsi="宋体" w:eastAsia="宋体" w:cs="宋体"/>
                <w:kern w:val="0"/>
                <w:sz w:val="21"/>
                <w:szCs w:val="21"/>
              </w:rPr>
              <w:t>要求，需支持自由配置规则参数，可对参数信息进行新增、编辑、删除等维护操作。</w:t>
            </w:r>
          </w:p>
        </w:tc>
      </w:tr>
      <w:tr w14:paraId="3BE3D4E0">
        <w:tblPrEx>
          <w:tblCellMar>
            <w:top w:w="0" w:type="dxa"/>
            <w:left w:w="108" w:type="dxa"/>
            <w:bottom w:w="0" w:type="dxa"/>
            <w:right w:w="108" w:type="dxa"/>
          </w:tblCellMar>
        </w:tblPrEx>
        <w:trPr>
          <w:trHeight w:val="810" w:hRule="atLeast"/>
        </w:trPr>
        <w:tc>
          <w:tcPr>
            <w:tcW w:w="1378" w:type="dxa"/>
            <w:vMerge w:val="restart"/>
            <w:tcBorders>
              <w:top w:val="nil"/>
              <w:left w:val="single" w:color="auto" w:sz="4" w:space="0"/>
              <w:bottom w:val="single" w:color="auto" w:sz="4" w:space="0"/>
              <w:right w:val="single" w:color="auto" w:sz="4" w:space="0"/>
            </w:tcBorders>
            <w:shd w:val="clear" w:color="auto" w:fill="auto"/>
            <w:noWrap/>
            <w:vAlign w:val="center"/>
          </w:tcPr>
          <w:p w14:paraId="203AE4B9">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健康档案</w:t>
            </w:r>
          </w:p>
          <w:p w14:paraId="44CE110D">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数据</w:t>
            </w:r>
            <w:r>
              <w:rPr>
                <w:rFonts w:hint="eastAsia" w:ascii="宋体" w:hAnsi="宋体" w:cs="宋体"/>
                <w:kern w:val="0"/>
                <w:sz w:val="21"/>
                <w:szCs w:val="21"/>
                <w:lang w:eastAsia="zh-CN"/>
              </w:rPr>
              <w:t>筛查</w:t>
            </w:r>
          </w:p>
        </w:tc>
        <w:tc>
          <w:tcPr>
            <w:tcW w:w="1902" w:type="dxa"/>
            <w:vMerge w:val="restart"/>
            <w:tcBorders>
              <w:top w:val="single" w:color="auto" w:sz="4" w:space="0"/>
              <w:left w:val="single" w:color="auto" w:sz="4" w:space="0"/>
              <w:right w:val="single" w:color="auto" w:sz="4" w:space="0"/>
            </w:tcBorders>
            <w:shd w:val="clear" w:color="auto" w:fill="auto"/>
            <w:vAlign w:val="center"/>
          </w:tcPr>
          <w:p w14:paraId="62F24B7B">
            <w:pPr>
              <w:widowControl/>
              <w:jc w:val="center"/>
              <w:rPr>
                <w:rFonts w:hint="eastAsia" w:ascii="宋体" w:hAnsi="宋体" w:eastAsia="宋体" w:cs="宋体"/>
                <w:kern w:val="0"/>
                <w:sz w:val="21"/>
                <w:szCs w:val="21"/>
              </w:rPr>
            </w:pPr>
            <w:r>
              <w:rPr>
                <w:rFonts w:hint="eastAsia" w:ascii="宋体" w:hAnsi="宋体" w:cs="宋体"/>
                <w:kern w:val="0"/>
                <w:sz w:val="21"/>
                <w:szCs w:val="21"/>
                <w:lang w:val="en-US" w:eastAsia="zh-CN"/>
              </w:rPr>
              <w:t>基本公共卫生服务项目</w:t>
            </w:r>
            <w:r>
              <w:rPr>
                <w:rFonts w:hint="eastAsia" w:ascii="宋体" w:hAnsi="宋体" w:eastAsia="宋体" w:cs="宋体"/>
                <w:kern w:val="0"/>
                <w:sz w:val="21"/>
                <w:szCs w:val="21"/>
              </w:rPr>
              <w:t>覆盖</w:t>
            </w:r>
            <w:r>
              <w:rPr>
                <w:rFonts w:hint="eastAsia" w:ascii="宋体" w:hAnsi="宋体" w:cs="宋体"/>
                <w:kern w:val="0"/>
                <w:sz w:val="21"/>
                <w:szCs w:val="21"/>
                <w:lang w:eastAsia="zh-CN"/>
              </w:rPr>
              <w:t>筛查</w:t>
            </w:r>
          </w:p>
        </w:tc>
        <w:tc>
          <w:tcPr>
            <w:tcW w:w="5780" w:type="dxa"/>
            <w:gridSpan w:val="2"/>
            <w:tcBorders>
              <w:top w:val="nil"/>
              <w:left w:val="nil"/>
              <w:bottom w:val="single" w:color="auto" w:sz="4" w:space="0"/>
              <w:right w:val="single" w:color="auto" w:sz="4" w:space="0"/>
            </w:tcBorders>
            <w:shd w:val="clear" w:color="auto" w:fill="auto"/>
            <w:vAlign w:val="bottom"/>
          </w:tcPr>
          <w:p w14:paraId="16190E83">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支持按</w:t>
            </w:r>
            <w:r>
              <w:rPr>
                <w:rFonts w:hint="eastAsia" w:ascii="宋体" w:hAnsi="宋体" w:cs="宋体"/>
                <w:kern w:val="0"/>
                <w:sz w:val="21"/>
                <w:szCs w:val="21"/>
                <w:lang w:eastAsia="zh-CN"/>
              </w:rPr>
              <w:t>筛查</w:t>
            </w:r>
            <w:r>
              <w:rPr>
                <w:rFonts w:hint="eastAsia" w:ascii="宋体" w:hAnsi="宋体" w:eastAsia="宋体" w:cs="宋体"/>
                <w:kern w:val="0"/>
                <w:sz w:val="21"/>
                <w:szCs w:val="21"/>
              </w:rPr>
              <w:t>计划对健康档案进行全量</w:t>
            </w:r>
            <w:r>
              <w:rPr>
                <w:rFonts w:hint="eastAsia" w:ascii="宋体" w:hAnsi="宋体" w:cs="宋体"/>
                <w:kern w:val="0"/>
                <w:sz w:val="21"/>
                <w:szCs w:val="21"/>
                <w:lang w:eastAsia="zh-CN"/>
              </w:rPr>
              <w:t>筛查</w:t>
            </w:r>
            <w:r>
              <w:rPr>
                <w:rFonts w:hint="eastAsia" w:ascii="宋体" w:hAnsi="宋体" w:eastAsia="宋体" w:cs="宋体"/>
                <w:kern w:val="0"/>
                <w:sz w:val="21"/>
                <w:szCs w:val="21"/>
              </w:rPr>
              <w:t>，以社区卫生服务中心为单位展示</w:t>
            </w:r>
            <w:r>
              <w:rPr>
                <w:rFonts w:hint="eastAsia" w:ascii="宋体" w:hAnsi="宋体" w:cs="宋体"/>
                <w:kern w:val="0"/>
                <w:sz w:val="21"/>
                <w:szCs w:val="21"/>
                <w:lang w:eastAsia="zh-CN"/>
              </w:rPr>
              <w:t>筛查</w:t>
            </w:r>
            <w:r>
              <w:rPr>
                <w:rFonts w:hint="eastAsia" w:ascii="宋体" w:hAnsi="宋体" w:eastAsia="宋体" w:cs="宋体"/>
                <w:kern w:val="0"/>
                <w:sz w:val="21"/>
                <w:szCs w:val="21"/>
              </w:rPr>
              <w:t>结果，并能够对</w:t>
            </w:r>
            <w:r>
              <w:rPr>
                <w:rFonts w:hint="eastAsia" w:ascii="宋体" w:hAnsi="宋体" w:cs="宋体"/>
                <w:kern w:val="0"/>
                <w:sz w:val="21"/>
                <w:szCs w:val="21"/>
                <w:lang w:eastAsia="zh-CN"/>
              </w:rPr>
              <w:t>筛查</w:t>
            </w:r>
            <w:r>
              <w:rPr>
                <w:rFonts w:hint="eastAsia" w:ascii="宋体" w:hAnsi="宋体" w:eastAsia="宋体" w:cs="宋体"/>
                <w:kern w:val="0"/>
                <w:sz w:val="21"/>
                <w:szCs w:val="21"/>
              </w:rPr>
              <w:t>结果进行统计分析，统计结果包括按社区卫生服务中心统计的任务数、有效建档率、居民健康档案动态使用率，居民规范化电子健康档案覆盖率等重点指标。</w:t>
            </w:r>
          </w:p>
        </w:tc>
      </w:tr>
      <w:tr w14:paraId="0B3A031E">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1993B039">
            <w:pPr>
              <w:widowControl/>
              <w:jc w:val="center"/>
              <w:rPr>
                <w:rFonts w:hint="eastAsia" w:ascii="宋体" w:hAnsi="宋体" w:eastAsia="宋体" w:cs="宋体"/>
                <w:kern w:val="0"/>
                <w:sz w:val="21"/>
                <w:szCs w:val="21"/>
              </w:rPr>
            </w:pPr>
          </w:p>
        </w:tc>
        <w:tc>
          <w:tcPr>
            <w:tcW w:w="1902" w:type="dxa"/>
            <w:vMerge w:val="continue"/>
            <w:tcBorders>
              <w:left w:val="single" w:color="auto" w:sz="4" w:space="0"/>
              <w:right w:val="single" w:color="auto" w:sz="4" w:space="0"/>
            </w:tcBorders>
            <w:vAlign w:val="center"/>
          </w:tcPr>
          <w:p w14:paraId="3872CC66">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1D22981B">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w:t>
            </w:r>
            <w:r>
              <w:rPr>
                <w:rFonts w:hint="eastAsia" w:ascii="宋体" w:hAnsi="宋体" w:cs="宋体"/>
                <w:kern w:val="0"/>
                <w:sz w:val="21"/>
                <w:szCs w:val="21"/>
                <w:lang w:eastAsia="zh-CN"/>
              </w:rPr>
              <w:t>筛查</w:t>
            </w:r>
            <w:r>
              <w:rPr>
                <w:rFonts w:hint="eastAsia" w:ascii="宋体" w:hAnsi="宋体" w:eastAsia="宋体" w:cs="宋体"/>
                <w:kern w:val="0"/>
                <w:sz w:val="21"/>
                <w:szCs w:val="21"/>
              </w:rPr>
              <w:t>结果中发现的无效档案数进行下钻，</w:t>
            </w:r>
            <w:r>
              <w:rPr>
                <w:rFonts w:hint="eastAsia" w:ascii="宋体" w:hAnsi="宋体" w:cs="宋体"/>
                <w:kern w:val="0"/>
                <w:sz w:val="21"/>
                <w:szCs w:val="21"/>
                <w:lang w:eastAsia="zh-CN"/>
              </w:rPr>
              <w:t>筛查</w:t>
            </w:r>
            <w:r>
              <w:rPr>
                <w:rFonts w:hint="eastAsia" w:ascii="宋体" w:hAnsi="宋体" w:eastAsia="宋体" w:cs="宋体"/>
                <w:kern w:val="0"/>
                <w:sz w:val="21"/>
                <w:szCs w:val="21"/>
              </w:rPr>
              <w:t>专家可查看无效档案明细数据以及无效管理原因，同时支持对明细数据进行多条件组合查询和脱敏导出。</w:t>
            </w:r>
          </w:p>
        </w:tc>
      </w:tr>
      <w:tr w14:paraId="1FF19D20">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0355E9DD">
            <w:pPr>
              <w:widowControl/>
              <w:jc w:val="center"/>
              <w:rPr>
                <w:rFonts w:hint="eastAsia" w:ascii="宋体" w:hAnsi="宋体" w:eastAsia="宋体" w:cs="宋体"/>
                <w:kern w:val="0"/>
                <w:sz w:val="21"/>
                <w:szCs w:val="21"/>
              </w:rPr>
            </w:pPr>
          </w:p>
        </w:tc>
        <w:tc>
          <w:tcPr>
            <w:tcW w:w="1902" w:type="dxa"/>
            <w:vMerge w:val="continue"/>
            <w:tcBorders>
              <w:left w:val="single" w:color="auto" w:sz="4" w:space="0"/>
              <w:right w:val="single" w:color="auto" w:sz="4" w:space="0"/>
            </w:tcBorders>
            <w:vAlign w:val="center"/>
          </w:tcPr>
          <w:p w14:paraId="76B3CF9D">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326A6273">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支持查看社区卫生服务中心无效建档数的明细数据。无效建档明细数据包括机构名称、身份证号、档案编号、姓名、责任医生、建档人、建档日期、无效管理原因等。</w:t>
            </w:r>
          </w:p>
        </w:tc>
      </w:tr>
      <w:tr w14:paraId="34936C79">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665427E3">
            <w:pPr>
              <w:widowControl/>
              <w:jc w:val="center"/>
              <w:rPr>
                <w:rFonts w:hint="eastAsia" w:ascii="宋体" w:hAnsi="宋体" w:eastAsia="宋体" w:cs="宋体"/>
                <w:kern w:val="0"/>
                <w:sz w:val="21"/>
                <w:szCs w:val="21"/>
              </w:rPr>
            </w:pPr>
          </w:p>
        </w:tc>
        <w:tc>
          <w:tcPr>
            <w:tcW w:w="1902" w:type="dxa"/>
            <w:vMerge w:val="continue"/>
            <w:tcBorders>
              <w:left w:val="single" w:color="auto" w:sz="4" w:space="0"/>
              <w:right w:val="single" w:color="auto" w:sz="4" w:space="0"/>
            </w:tcBorders>
            <w:vAlign w:val="center"/>
          </w:tcPr>
          <w:p w14:paraId="40063022">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74916325">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w:t>
            </w:r>
            <w:r>
              <w:rPr>
                <w:rFonts w:hint="eastAsia" w:ascii="宋体" w:hAnsi="宋体" w:cs="宋体"/>
                <w:kern w:val="0"/>
                <w:sz w:val="21"/>
                <w:szCs w:val="21"/>
                <w:lang w:eastAsia="zh-CN"/>
              </w:rPr>
              <w:t>筛查</w:t>
            </w:r>
            <w:r>
              <w:rPr>
                <w:rFonts w:hint="eastAsia" w:ascii="宋体" w:hAnsi="宋体" w:eastAsia="宋体" w:cs="宋体"/>
                <w:kern w:val="0"/>
                <w:sz w:val="21"/>
                <w:szCs w:val="21"/>
              </w:rPr>
              <w:t>结果中有动态记录的无效档案数进行下钻，</w:t>
            </w:r>
            <w:r>
              <w:rPr>
                <w:rFonts w:hint="eastAsia" w:ascii="宋体" w:hAnsi="宋体" w:cs="宋体"/>
                <w:kern w:val="0"/>
                <w:sz w:val="21"/>
                <w:szCs w:val="21"/>
                <w:lang w:eastAsia="zh-CN"/>
              </w:rPr>
              <w:t>筛查</w:t>
            </w:r>
            <w:r>
              <w:rPr>
                <w:rFonts w:hint="eastAsia" w:ascii="宋体" w:hAnsi="宋体" w:eastAsia="宋体" w:cs="宋体"/>
                <w:kern w:val="0"/>
                <w:sz w:val="21"/>
                <w:szCs w:val="21"/>
              </w:rPr>
              <w:t>有动态记录无效档案的明细数据以及无效管理的原因，同时可支持对明细数据进行多条件组合查询和脱敏导出。</w:t>
            </w:r>
          </w:p>
        </w:tc>
      </w:tr>
      <w:tr w14:paraId="67AE03E0">
        <w:tblPrEx>
          <w:tblCellMar>
            <w:top w:w="0" w:type="dxa"/>
            <w:left w:w="108" w:type="dxa"/>
            <w:bottom w:w="0" w:type="dxa"/>
            <w:right w:w="108" w:type="dxa"/>
          </w:tblCellMar>
        </w:tblPrEx>
        <w:trPr>
          <w:trHeight w:val="810" w:hRule="atLeast"/>
        </w:trPr>
        <w:tc>
          <w:tcPr>
            <w:tcW w:w="1378" w:type="dxa"/>
            <w:vMerge w:val="continue"/>
            <w:tcBorders>
              <w:top w:val="nil"/>
              <w:left w:val="single" w:color="auto" w:sz="4" w:space="0"/>
              <w:bottom w:val="single" w:color="auto" w:sz="4" w:space="0"/>
              <w:right w:val="single" w:color="auto" w:sz="4" w:space="0"/>
            </w:tcBorders>
            <w:vAlign w:val="center"/>
          </w:tcPr>
          <w:p w14:paraId="701E0D6C">
            <w:pPr>
              <w:widowControl/>
              <w:jc w:val="center"/>
              <w:rPr>
                <w:rFonts w:hint="eastAsia" w:ascii="宋体" w:hAnsi="宋体" w:eastAsia="宋体" w:cs="宋体"/>
                <w:kern w:val="0"/>
                <w:sz w:val="21"/>
                <w:szCs w:val="21"/>
              </w:rPr>
            </w:pPr>
          </w:p>
        </w:tc>
        <w:tc>
          <w:tcPr>
            <w:tcW w:w="1902" w:type="dxa"/>
            <w:vMerge w:val="continue"/>
            <w:tcBorders>
              <w:left w:val="single" w:color="auto" w:sz="4" w:space="0"/>
              <w:bottom w:val="single" w:color="auto" w:sz="4" w:space="0"/>
              <w:right w:val="single" w:color="auto" w:sz="4" w:space="0"/>
            </w:tcBorders>
            <w:vAlign w:val="center"/>
          </w:tcPr>
          <w:p w14:paraId="0FBC9733">
            <w:pPr>
              <w:widowControl/>
              <w:jc w:val="center"/>
              <w:rPr>
                <w:rFonts w:hint="eastAsia" w:ascii="宋体" w:hAnsi="宋体" w:eastAsia="宋体" w:cs="宋体"/>
                <w:kern w:val="0"/>
                <w:sz w:val="21"/>
                <w:szCs w:val="21"/>
                <w:lang w:eastAsia="zh-CN"/>
              </w:rPr>
            </w:pPr>
          </w:p>
        </w:tc>
        <w:tc>
          <w:tcPr>
            <w:tcW w:w="5780" w:type="dxa"/>
            <w:gridSpan w:val="2"/>
            <w:tcBorders>
              <w:top w:val="single" w:color="auto" w:sz="4" w:space="0"/>
              <w:left w:val="nil"/>
              <w:bottom w:val="single" w:color="auto" w:sz="4" w:space="0"/>
              <w:right w:val="single" w:color="auto" w:sz="4" w:space="0"/>
            </w:tcBorders>
            <w:shd w:val="clear" w:color="auto" w:fill="auto"/>
            <w:vAlign w:val="bottom"/>
          </w:tcPr>
          <w:p w14:paraId="1996CA6D">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支持查看被</w:t>
            </w:r>
            <w:r>
              <w:rPr>
                <w:rFonts w:hint="eastAsia" w:ascii="宋体" w:hAnsi="宋体" w:cs="宋体"/>
                <w:kern w:val="0"/>
                <w:sz w:val="21"/>
                <w:szCs w:val="21"/>
                <w:lang w:eastAsia="zh-CN"/>
              </w:rPr>
              <w:t>筛查</w:t>
            </w:r>
            <w:r>
              <w:rPr>
                <w:rFonts w:hint="eastAsia" w:ascii="宋体" w:hAnsi="宋体" w:eastAsia="宋体" w:cs="宋体"/>
                <w:kern w:val="0"/>
                <w:sz w:val="21"/>
                <w:szCs w:val="21"/>
              </w:rPr>
              <w:t>单位社区卫生服务中心规范明细数据，明细数据应整合健康档案填写不规范、重点人群</w:t>
            </w:r>
            <w:r>
              <w:rPr>
                <w:rFonts w:hint="eastAsia" w:ascii="宋体" w:hAnsi="宋体" w:cs="宋体"/>
                <w:kern w:val="0"/>
                <w:sz w:val="21"/>
                <w:szCs w:val="21"/>
                <w:lang w:eastAsia="zh-CN"/>
              </w:rPr>
              <w:t>、</w:t>
            </w:r>
            <w:r>
              <w:rPr>
                <w:rFonts w:hint="eastAsia" w:ascii="宋体" w:hAnsi="宋体" w:cs="宋体"/>
                <w:kern w:val="0"/>
                <w:sz w:val="21"/>
                <w:szCs w:val="21"/>
                <w:lang w:val="en-US" w:eastAsia="zh-CN"/>
              </w:rPr>
              <w:t>中医药健康管理服务人群、老年人健康管理服务人群等项目的</w:t>
            </w:r>
            <w:r>
              <w:rPr>
                <w:rFonts w:hint="eastAsia" w:ascii="宋体" w:hAnsi="宋体" w:eastAsia="宋体" w:cs="宋体"/>
                <w:kern w:val="0"/>
                <w:sz w:val="21"/>
                <w:szCs w:val="21"/>
              </w:rPr>
              <w:t>服务不规范等不是业务维度具体不规范原因，同时数据明细应进行脱敏支持导出。</w:t>
            </w:r>
          </w:p>
        </w:tc>
      </w:tr>
      <w:tr w14:paraId="37BB7967">
        <w:tblPrEx>
          <w:tblCellMar>
            <w:top w:w="0" w:type="dxa"/>
            <w:left w:w="108" w:type="dxa"/>
            <w:bottom w:w="0" w:type="dxa"/>
            <w:right w:w="108" w:type="dxa"/>
          </w:tblCellMar>
        </w:tblPrEx>
        <w:trPr>
          <w:trHeight w:val="810" w:hRule="atLeast"/>
        </w:trPr>
        <w:tc>
          <w:tcPr>
            <w:tcW w:w="1378" w:type="dxa"/>
            <w:vMerge w:val="continue"/>
            <w:tcBorders>
              <w:top w:val="nil"/>
              <w:left w:val="single" w:color="auto" w:sz="4" w:space="0"/>
              <w:bottom w:val="single" w:color="auto" w:sz="4" w:space="0"/>
              <w:right w:val="single" w:color="auto" w:sz="4" w:space="0"/>
            </w:tcBorders>
            <w:vAlign w:val="center"/>
          </w:tcPr>
          <w:p w14:paraId="30C2884A">
            <w:pPr>
              <w:widowControl/>
              <w:jc w:val="center"/>
              <w:rPr>
                <w:rFonts w:hint="eastAsia" w:ascii="宋体" w:hAnsi="宋体" w:eastAsia="宋体" w:cs="宋体"/>
                <w:kern w:val="0"/>
                <w:sz w:val="21"/>
                <w:szCs w:val="21"/>
              </w:rPr>
            </w:pPr>
          </w:p>
        </w:tc>
        <w:tc>
          <w:tcPr>
            <w:tcW w:w="19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8E877E">
            <w:pPr>
              <w:widowControl/>
              <w:jc w:val="center"/>
              <w:rPr>
                <w:rFonts w:hint="eastAsia" w:ascii="宋体" w:hAnsi="宋体" w:eastAsia="宋体" w:cs="宋体"/>
                <w:kern w:val="0"/>
                <w:sz w:val="21"/>
                <w:szCs w:val="21"/>
              </w:rPr>
            </w:pPr>
            <w:r>
              <w:rPr>
                <w:rFonts w:hint="eastAsia" w:ascii="宋体" w:hAnsi="宋体" w:cs="宋体"/>
                <w:kern w:val="0"/>
                <w:sz w:val="21"/>
                <w:szCs w:val="21"/>
                <w:lang w:eastAsia="zh-CN"/>
              </w:rPr>
              <w:t>筛查</w:t>
            </w:r>
            <w:r>
              <w:rPr>
                <w:rFonts w:hint="eastAsia" w:ascii="宋体" w:hAnsi="宋体" w:eastAsia="宋体" w:cs="宋体"/>
                <w:kern w:val="0"/>
                <w:sz w:val="21"/>
                <w:szCs w:val="21"/>
              </w:rPr>
              <w:t>评分管理</w:t>
            </w:r>
          </w:p>
        </w:tc>
        <w:tc>
          <w:tcPr>
            <w:tcW w:w="5780" w:type="dxa"/>
            <w:gridSpan w:val="2"/>
            <w:tcBorders>
              <w:top w:val="nil"/>
              <w:left w:val="nil"/>
              <w:bottom w:val="single" w:color="auto" w:sz="4" w:space="0"/>
              <w:right w:val="single" w:color="auto" w:sz="4" w:space="0"/>
            </w:tcBorders>
            <w:shd w:val="clear" w:color="auto" w:fill="auto"/>
            <w:vAlign w:val="bottom"/>
          </w:tcPr>
          <w:p w14:paraId="7B9F2BC8">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支持按机构对大数据进行等距或随机抽样，抽样可以通过设置，设定不同人群的样本抽取的样本数等，抽样设置应包括一般人群数据、0~6儿童人数、</w:t>
            </w:r>
            <w:r>
              <w:rPr>
                <w:rFonts w:hint="eastAsia" w:ascii="宋体" w:hAnsi="宋体" w:cs="宋体"/>
                <w:kern w:val="0"/>
                <w:sz w:val="21"/>
                <w:szCs w:val="21"/>
                <w:lang w:eastAsia="zh-CN"/>
              </w:rPr>
              <w:t>慢性病</w:t>
            </w:r>
            <w:r>
              <w:rPr>
                <w:rFonts w:hint="eastAsia" w:ascii="宋体" w:hAnsi="宋体" w:cs="宋体"/>
                <w:kern w:val="0"/>
                <w:sz w:val="21"/>
                <w:szCs w:val="21"/>
                <w:lang w:val="en-US" w:eastAsia="zh-CN"/>
              </w:rPr>
              <w:t>健康管理人数</w:t>
            </w:r>
            <w:r>
              <w:rPr>
                <w:rFonts w:hint="eastAsia" w:ascii="宋体" w:hAnsi="宋体" w:eastAsia="宋体" w:cs="宋体"/>
                <w:kern w:val="0"/>
                <w:sz w:val="21"/>
                <w:szCs w:val="21"/>
              </w:rPr>
              <w:t>、老年人</w:t>
            </w:r>
            <w:r>
              <w:rPr>
                <w:rFonts w:hint="eastAsia" w:ascii="宋体" w:hAnsi="宋体" w:cs="宋体"/>
                <w:kern w:val="0"/>
                <w:sz w:val="21"/>
                <w:szCs w:val="21"/>
                <w:lang w:val="en-US" w:eastAsia="zh-CN"/>
              </w:rPr>
              <w:t>健康管理人数</w:t>
            </w:r>
            <w:r>
              <w:rPr>
                <w:rFonts w:hint="eastAsia" w:ascii="宋体" w:hAnsi="宋体" w:eastAsia="宋体" w:cs="宋体"/>
                <w:kern w:val="0"/>
                <w:sz w:val="21"/>
                <w:szCs w:val="21"/>
              </w:rPr>
              <w:t>、</w:t>
            </w:r>
            <w:r>
              <w:rPr>
                <w:rFonts w:hint="eastAsia" w:ascii="宋体" w:hAnsi="宋体" w:cs="宋体"/>
                <w:kern w:val="0"/>
                <w:sz w:val="21"/>
                <w:szCs w:val="21"/>
                <w:lang w:val="en-US" w:eastAsia="zh-CN"/>
              </w:rPr>
              <w:t>中医药健康管理人数</w:t>
            </w:r>
            <w:r>
              <w:rPr>
                <w:rFonts w:hint="eastAsia" w:ascii="宋体" w:hAnsi="宋体" w:eastAsia="宋体" w:cs="宋体"/>
                <w:kern w:val="0"/>
                <w:sz w:val="21"/>
                <w:szCs w:val="21"/>
              </w:rPr>
              <w:t>，</w:t>
            </w:r>
            <w:r>
              <w:rPr>
                <w:rFonts w:hint="eastAsia" w:ascii="宋体" w:hAnsi="宋体" w:cs="宋体"/>
                <w:kern w:val="0"/>
                <w:sz w:val="21"/>
                <w:szCs w:val="21"/>
                <w:lang w:eastAsia="zh-CN"/>
              </w:rPr>
              <w:t>居民建档</w:t>
            </w:r>
            <w:r>
              <w:rPr>
                <w:rFonts w:hint="eastAsia" w:ascii="宋体" w:hAnsi="宋体" w:eastAsia="宋体" w:cs="宋体"/>
                <w:kern w:val="0"/>
                <w:sz w:val="21"/>
                <w:szCs w:val="21"/>
              </w:rPr>
              <w:t>时间等。</w:t>
            </w:r>
          </w:p>
        </w:tc>
      </w:tr>
      <w:tr w14:paraId="126CF472">
        <w:tblPrEx>
          <w:tblCellMar>
            <w:top w:w="0" w:type="dxa"/>
            <w:left w:w="108" w:type="dxa"/>
            <w:bottom w:w="0" w:type="dxa"/>
            <w:right w:w="108" w:type="dxa"/>
          </w:tblCellMar>
        </w:tblPrEx>
        <w:trPr>
          <w:trHeight w:val="810" w:hRule="atLeast"/>
        </w:trPr>
        <w:tc>
          <w:tcPr>
            <w:tcW w:w="1378" w:type="dxa"/>
            <w:vMerge w:val="continue"/>
            <w:tcBorders>
              <w:top w:val="nil"/>
              <w:left w:val="single" w:color="auto" w:sz="4" w:space="0"/>
              <w:bottom w:val="single" w:color="auto" w:sz="4" w:space="0"/>
              <w:right w:val="single" w:color="auto" w:sz="4" w:space="0"/>
            </w:tcBorders>
            <w:vAlign w:val="center"/>
          </w:tcPr>
          <w:p w14:paraId="287B3E88">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1F966B05">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796DEA24">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支持通过界面的方式展示</w:t>
            </w:r>
            <w:r>
              <w:rPr>
                <w:rFonts w:hint="eastAsia" w:ascii="宋体" w:hAnsi="宋体" w:cs="宋体"/>
                <w:kern w:val="0"/>
                <w:sz w:val="21"/>
                <w:szCs w:val="21"/>
                <w:lang w:eastAsia="zh-CN"/>
              </w:rPr>
              <w:t>抽</w:t>
            </w:r>
            <w:r>
              <w:rPr>
                <w:rFonts w:hint="eastAsia" w:ascii="宋体" w:hAnsi="宋体" w:eastAsia="宋体" w:cs="宋体"/>
                <w:kern w:val="0"/>
                <w:sz w:val="21"/>
                <w:szCs w:val="21"/>
              </w:rPr>
              <w:t>样的健康档案信息，门诊记录、体检记录、随访记录的访视信息，方便专家对样本进行</w:t>
            </w:r>
            <w:r>
              <w:rPr>
                <w:rFonts w:hint="eastAsia" w:ascii="宋体" w:hAnsi="宋体" w:cs="宋体"/>
                <w:kern w:val="0"/>
                <w:sz w:val="21"/>
                <w:szCs w:val="21"/>
                <w:lang w:eastAsia="zh-CN"/>
              </w:rPr>
              <w:t>远程信息化筛查</w:t>
            </w:r>
            <w:r>
              <w:rPr>
                <w:rFonts w:hint="eastAsia" w:ascii="宋体" w:hAnsi="宋体" w:eastAsia="宋体" w:cs="宋体"/>
                <w:kern w:val="0"/>
                <w:sz w:val="21"/>
                <w:szCs w:val="21"/>
              </w:rPr>
              <w:t>结果进行准确性检查。</w:t>
            </w:r>
          </w:p>
        </w:tc>
      </w:tr>
      <w:tr w14:paraId="62F155B1">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540011A1">
            <w:pPr>
              <w:widowControl/>
              <w:jc w:val="center"/>
              <w:rPr>
                <w:rFonts w:hint="eastAsia" w:ascii="宋体" w:hAnsi="宋体" w:eastAsia="宋体" w:cs="宋体"/>
                <w:kern w:val="0"/>
                <w:sz w:val="21"/>
                <w:szCs w:val="21"/>
              </w:rPr>
            </w:pPr>
          </w:p>
        </w:tc>
        <w:tc>
          <w:tcPr>
            <w:tcW w:w="1902" w:type="dxa"/>
            <w:vMerge w:val="continue"/>
            <w:tcBorders>
              <w:top w:val="single" w:color="auto" w:sz="4" w:space="0"/>
              <w:left w:val="single" w:color="auto" w:sz="4" w:space="0"/>
              <w:bottom w:val="single" w:color="auto" w:sz="4" w:space="0"/>
              <w:right w:val="single" w:color="auto" w:sz="4" w:space="0"/>
            </w:tcBorders>
            <w:vAlign w:val="center"/>
          </w:tcPr>
          <w:p w14:paraId="30774265">
            <w:pPr>
              <w:widowControl/>
              <w:jc w:val="center"/>
              <w:rPr>
                <w:rFonts w:hint="eastAsia" w:ascii="宋体" w:hAnsi="宋体" w:eastAsia="宋体" w:cs="宋体"/>
                <w:kern w:val="0"/>
                <w:sz w:val="21"/>
                <w:szCs w:val="21"/>
              </w:rPr>
            </w:pPr>
          </w:p>
        </w:tc>
        <w:tc>
          <w:tcPr>
            <w:tcW w:w="5780" w:type="dxa"/>
            <w:gridSpan w:val="2"/>
            <w:tcBorders>
              <w:top w:val="nil"/>
              <w:left w:val="nil"/>
              <w:bottom w:val="single" w:color="auto" w:sz="4" w:space="0"/>
              <w:right w:val="single" w:color="auto" w:sz="4" w:space="0"/>
            </w:tcBorders>
            <w:shd w:val="clear" w:color="auto" w:fill="auto"/>
            <w:vAlign w:val="bottom"/>
          </w:tcPr>
          <w:p w14:paraId="0FF1B96B">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支持根据全量计算结果，评分要求、分值，计算方式，对大数据结果进行自动汇总评分，得出居民健康档案</w:t>
            </w:r>
            <w:r>
              <w:rPr>
                <w:rFonts w:hint="eastAsia" w:ascii="宋体" w:hAnsi="宋体" w:cs="宋体"/>
                <w:kern w:val="0"/>
                <w:sz w:val="21"/>
                <w:szCs w:val="21"/>
                <w:lang w:eastAsia="zh-CN"/>
              </w:rPr>
              <w:t>筛查</w:t>
            </w:r>
            <w:r>
              <w:rPr>
                <w:rFonts w:hint="eastAsia" w:ascii="宋体" w:hAnsi="宋体" w:eastAsia="宋体" w:cs="宋体"/>
                <w:kern w:val="0"/>
                <w:sz w:val="21"/>
                <w:szCs w:val="21"/>
              </w:rPr>
              <w:t xml:space="preserve">评分结果，并可对评分结果进行保存、预览、归档、打印、下载。 </w:t>
            </w:r>
          </w:p>
        </w:tc>
      </w:tr>
      <w:tr w14:paraId="45D3693D">
        <w:tblPrEx>
          <w:tblCellMar>
            <w:top w:w="0" w:type="dxa"/>
            <w:left w:w="108" w:type="dxa"/>
            <w:bottom w:w="0" w:type="dxa"/>
            <w:right w:w="108" w:type="dxa"/>
          </w:tblCellMar>
        </w:tblPrEx>
        <w:trPr>
          <w:trHeight w:val="810" w:hRule="atLeast"/>
        </w:trPr>
        <w:tc>
          <w:tcPr>
            <w:tcW w:w="1378" w:type="dxa"/>
            <w:vMerge w:val="restart"/>
            <w:tcBorders>
              <w:top w:val="nil"/>
              <w:left w:val="single" w:color="auto" w:sz="4" w:space="0"/>
              <w:bottom w:val="single" w:color="auto" w:sz="4" w:space="0"/>
              <w:right w:val="single" w:color="auto" w:sz="4" w:space="0"/>
            </w:tcBorders>
            <w:shd w:val="clear" w:color="auto" w:fill="auto"/>
            <w:noWrap/>
            <w:vAlign w:val="center"/>
          </w:tcPr>
          <w:p w14:paraId="43093DB9">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报告管理</w:t>
            </w:r>
          </w:p>
        </w:tc>
        <w:tc>
          <w:tcPr>
            <w:tcW w:w="1902" w:type="dxa"/>
            <w:vMerge w:val="restart"/>
            <w:tcBorders>
              <w:top w:val="nil"/>
              <w:left w:val="single" w:color="auto" w:sz="4" w:space="0"/>
              <w:bottom w:val="single" w:color="auto" w:sz="4" w:space="0"/>
              <w:right w:val="single" w:color="auto" w:sz="4" w:space="0"/>
            </w:tcBorders>
            <w:shd w:val="clear" w:color="auto" w:fill="auto"/>
            <w:vAlign w:val="center"/>
          </w:tcPr>
          <w:p w14:paraId="1A31B9A7">
            <w:pPr>
              <w:widowControl/>
              <w:jc w:val="center"/>
              <w:rPr>
                <w:rFonts w:hint="eastAsia" w:ascii="宋体" w:hAnsi="宋体" w:eastAsia="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lang w:eastAsia="zh-CN"/>
              </w:rPr>
              <w:t>筛查</w:t>
            </w:r>
            <w:r>
              <w:rPr>
                <w:rFonts w:hint="eastAsia" w:ascii="宋体" w:hAnsi="宋体" w:eastAsia="宋体" w:cs="宋体"/>
                <w:kern w:val="0"/>
                <w:sz w:val="21"/>
                <w:szCs w:val="21"/>
              </w:rPr>
              <w:t>报告模板管理</w:t>
            </w:r>
          </w:p>
        </w:tc>
        <w:tc>
          <w:tcPr>
            <w:tcW w:w="1574" w:type="dxa"/>
            <w:tcBorders>
              <w:top w:val="nil"/>
              <w:left w:val="nil"/>
              <w:bottom w:val="single" w:color="auto" w:sz="4" w:space="0"/>
              <w:right w:val="single" w:color="auto" w:sz="4" w:space="0"/>
            </w:tcBorders>
            <w:shd w:val="clear" w:color="auto" w:fill="auto"/>
            <w:vAlign w:val="center"/>
          </w:tcPr>
          <w:p w14:paraId="23C4899C">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模板设计器</w:t>
            </w:r>
          </w:p>
        </w:tc>
        <w:tc>
          <w:tcPr>
            <w:tcW w:w="4206" w:type="dxa"/>
            <w:tcBorders>
              <w:top w:val="nil"/>
              <w:left w:val="nil"/>
              <w:bottom w:val="single" w:color="auto" w:sz="4" w:space="0"/>
              <w:right w:val="single" w:color="auto" w:sz="4" w:space="0"/>
            </w:tcBorders>
            <w:shd w:val="clear" w:color="auto" w:fill="auto"/>
            <w:vAlign w:val="bottom"/>
          </w:tcPr>
          <w:p w14:paraId="665EAEE4">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提供可视化的模板设计界面，支持拖拽式操作，用户可以轻松添加文本框、表格、图片、图表、页眉页脚等内容元素。系统支持高级格式化规则，例如根据数据内容动态调整字体颜色、字号、表格样式等，满足复杂的业务需求。</w:t>
            </w:r>
          </w:p>
        </w:tc>
      </w:tr>
      <w:tr w14:paraId="025D8BFA">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04F56DF4">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5CF46A3B">
            <w:pPr>
              <w:widowControl/>
              <w:jc w:val="center"/>
              <w:rPr>
                <w:rFonts w:hint="eastAsia" w:ascii="宋体" w:hAnsi="宋体" w:eastAsia="宋体" w:cs="宋体"/>
                <w:kern w:val="0"/>
                <w:sz w:val="21"/>
                <w:szCs w:val="21"/>
              </w:rPr>
            </w:pPr>
          </w:p>
        </w:tc>
        <w:tc>
          <w:tcPr>
            <w:tcW w:w="1574" w:type="dxa"/>
            <w:tcBorders>
              <w:top w:val="nil"/>
              <w:left w:val="nil"/>
              <w:bottom w:val="single" w:color="auto" w:sz="4" w:space="0"/>
              <w:right w:val="single" w:color="auto" w:sz="4" w:space="0"/>
            </w:tcBorders>
            <w:shd w:val="clear" w:color="auto" w:fill="auto"/>
            <w:vAlign w:val="bottom"/>
          </w:tcPr>
          <w:p w14:paraId="6E053678">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动态变量绑定</w:t>
            </w:r>
          </w:p>
        </w:tc>
        <w:tc>
          <w:tcPr>
            <w:tcW w:w="4206" w:type="dxa"/>
            <w:tcBorders>
              <w:top w:val="nil"/>
              <w:left w:val="nil"/>
              <w:bottom w:val="single" w:color="auto" w:sz="4" w:space="0"/>
              <w:right w:val="single" w:color="auto" w:sz="4" w:space="0"/>
            </w:tcBorders>
            <w:shd w:val="clear" w:color="auto" w:fill="auto"/>
            <w:vAlign w:val="bottom"/>
          </w:tcPr>
          <w:p w14:paraId="14AF8238">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支持在模板中插入动态数据字段，并与数据库字段绑定，确保生成的报告内容实时更新。</w:t>
            </w:r>
          </w:p>
        </w:tc>
      </w:tr>
      <w:tr w14:paraId="108AFF93">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64330B24">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5A2F908F">
            <w:pPr>
              <w:widowControl/>
              <w:jc w:val="center"/>
              <w:rPr>
                <w:rFonts w:hint="eastAsia" w:ascii="宋体" w:hAnsi="宋体" w:eastAsia="宋体" w:cs="宋体"/>
                <w:kern w:val="0"/>
                <w:sz w:val="21"/>
                <w:szCs w:val="21"/>
              </w:rPr>
            </w:pPr>
          </w:p>
        </w:tc>
        <w:tc>
          <w:tcPr>
            <w:tcW w:w="1574" w:type="dxa"/>
            <w:tcBorders>
              <w:top w:val="nil"/>
              <w:left w:val="nil"/>
              <w:bottom w:val="single" w:color="auto" w:sz="4" w:space="0"/>
              <w:right w:val="single" w:color="auto" w:sz="4" w:space="0"/>
            </w:tcBorders>
            <w:shd w:val="clear" w:color="auto" w:fill="auto"/>
            <w:vAlign w:val="center"/>
          </w:tcPr>
          <w:p w14:paraId="555C1569">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脚本支持</w:t>
            </w:r>
          </w:p>
          <w:p w14:paraId="20C7C378">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与扩展</w:t>
            </w:r>
          </w:p>
        </w:tc>
        <w:tc>
          <w:tcPr>
            <w:tcW w:w="4206" w:type="dxa"/>
            <w:tcBorders>
              <w:top w:val="nil"/>
              <w:left w:val="nil"/>
              <w:bottom w:val="single" w:color="auto" w:sz="4" w:space="0"/>
              <w:right w:val="single" w:color="auto" w:sz="4" w:space="0"/>
            </w:tcBorders>
            <w:shd w:val="clear" w:color="auto" w:fill="auto"/>
            <w:vAlign w:val="bottom"/>
          </w:tcPr>
          <w:p w14:paraId="07982600">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支持通过脚本（如 JavaScript、Python）实现复杂的逻辑自定义，例如根据特定条件动态隐藏或显示模板中的某些部分。</w:t>
            </w:r>
          </w:p>
        </w:tc>
      </w:tr>
      <w:tr w14:paraId="09762386">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624F58F1">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50AF746C">
            <w:pPr>
              <w:widowControl/>
              <w:jc w:val="center"/>
              <w:rPr>
                <w:rFonts w:hint="eastAsia" w:ascii="宋体" w:hAnsi="宋体" w:eastAsia="宋体" w:cs="宋体"/>
                <w:kern w:val="0"/>
                <w:sz w:val="21"/>
                <w:szCs w:val="21"/>
              </w:rPr>
            </w:pPr>
          </w:p>
        </w:tc>
        <w:tc>
          <w:tcPr>
            <w:tcW w:w="1574" w:type="dxa"/>
            <w:tcBorders>
              <w:top w:val="nil"/>
              <w:left w:val="nil"/>
              <w:bottom w:val="single" w:color="auto" w:sz="4" w:space="0"/>
              <w:right w:val="single" w:color="auto" w:sz="4" w:space="0"/>
            </w:tcBorders>
            <w:shd w:val="clear" w:color="auto" w:fill="auto"/>
            <w:vAlign w:val="center"/>
          </w:tcPr>
          <w:p w14:paraId="20C2B189">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实时预览</w:t>
            </w:r>
          </w:p>
        </w:tc>
        <w:tc>
          <w:tcPr>
            <w:tcW w:w="4206" w:type="dxa"/>
            <w:tcBorders>
              <w:top w:val="nil"/>
              <w:left w:val="nil"/>
              <w:bottom w:val="single" w:color="auto" w:sz="4" w:space="0"/>
              <w:right w:val="single" w:color="auto" w:sz="4" w:space="0"/>
            </w:tcBorders>
            <w:shd w:val="clear" w:color="auto" w:fill="auto"/>
            <w:vAlign w:val="bottom"/>
          </w:tcPr>
          <w:p w14:paraId="31C5EDCB">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支持在模板编辑界面对生成的报告进行实时预览，确保最终效果满足需求。</w:t>
            </w:r>
          </w:p>
        </w:tc>
      </w:tr>
      <w:tr w14:paraId="7C9221A6">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50C1CE19">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6982D6E4">
            <w:pPr>
              <w:widowControl/>
              <w:jc w:val="center"/>
              <w:rPr>
                <w:rFonts w:hint="eastAsia" w:ascii="宋体" w:hAnsi="宋体" w:eastAsia="宋体" w:cs="宋体"/>
                <w:kern w:val="0"/>
                <w:sz w:val="21"/>
                <w:szCs w:val="21"/>
              </w:rPr>
            </w:pPr>
          </w:p>
        </w:tc>
        <w:tc>
          <w:tcPr>
            <w:tcW w:w="1574" w:type="dxa"/>
            <w:tcBorders>
              <w:top w:val="nil"/>
              <w:left w:val="nil"/>
              <w:bottom w:val="single" w:color="auto" w:sz="4" w:space="0"/>
              <w:right w:val="single" w:color="auto" w:sz="4" w:space="0"/>
            </w:tcBorders>
            <w:shd w:val="clear" w:color="auto" w:fill="auto"/>
            <w:vAlign w:val="center"/>
          </w:tcPr>
          <w:p w14:paraId="180C3317">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模板版本管理</w:t>
            </w:r>
          </w:p>
        </w:tc>
        <w:tc>
          <w:tcPr>
            <w:tcW w:w="4206" w:type="dxa"/>
            <w:tcBorders>
              <w:top w:val="nil"/>
              <w:left w:val="nil"/>
              <w:bottom w:val="single" w:color="auto" w:sz="4" w:space="0"/>
              <w:right w:val="single" w:color="auto" w:sz="4" w:space="0"/>
            </w:tcBorders>
            <w:shd w:val="clear" w:color="auto" w:fill="auto"/>
            <w:vAlign w:val="bottom"/>
          </w:tcPr>
          <w:p w14:paraId="00CA2D47">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支持模板的版本控制功能，用户可以查看模板历史版本，并随时回滚到之前的版本，确保模板更新的安全性和可追溯性。</w:t>
            </w:r>
          </w:p>
        </w:tc>
      </w:tr>
      <w:tr w14:paraId="0799FE58">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7063C3E8">
            <w:pPr>
              <w:widowControl/>
              <w:jc w:val="center"/>
              <w:rPr>
                <w:rFonts w:hint="eastAsia" w:ascii="宋体" w:hAnsi="宋体" w:eastAsia="宋体" w:cs="宋体"/>
                <w:kern w:val="0"/>
                <w:sz w:val="21"/>
                <w:szCs w:val="21"/>
              </w:rPr>
            </w:pPr>
          </w:p>
        </w:tc>
        <w:tc>
          <w:tcPr>
            <w:tcW w:w="1902" w:type="dxa"/>
            <w:vMerge w:val="restart"/>
            <w:tcBorders>
              <w:top w:val="nil"/>
              <w:left w:val="single" w:color="auto" w:sz="4" w:space="0"/>
              <w:bottom w:val="single" w:color="auto" w:sz="4" w:space="0"/>
              <w:right w:val="single" w:color="auto" w:sz="4" w:space="0"/>
            </w:tcBorders>
            <w:shd w:val="clear" w:color="auto" w:fill="auto"/>
            <w:vAlign w:val="center"/>
          </w:tcPr>
          <w:p w14:paraId="5D2D0351">
            <w:pPr>
              <w:widowControl/>
              <w:jc w:val="center"/>
              <w:rPr>
                <w:rFonts w:hint="eastAsia" w:ascii="宋体" w:hAnsi="宋体" w:eastAsia="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lang w:eastAsia="zh-CN"/>
              </w:rPr>
              <w:t>筛查</w:t>
            </w:r>
            <w:r>
              <w:rPr>
                <w:rFonts w:hint="eastAsia" w:ascii="宋体" w:hAnsi="宋体" w:eastAsia="宋体" w:cs="宋体"/>
                <w:kern w:val="0"/>
                <w:sz w:val="21"/>
                <w:szCs w:val="21"/>
              </w:rPr>
              <w:t>报告</w:t>
            </w:r>
          </w:p>
        </w:tc>
        <w:tc>
          <w:tcPr>
            <w:tcW w:w="1574" w:type="dxa"/>
            <w:vMerge w:val="restart"/>
            <w:tcBorders>
              <w:top w:val="nil"/>
              <w:left w:val="single" w:color="auto" w:sz="4" w:space="0"/>
              <w:bottom w:val="single" w:color="000000" w:sz="4" w:space="0"/>
              <w:right w:val="single" w:color="auto" w:sz="4" w:space="0"/>
            </w:tcBorders>
            <w:shd w:val="clear" w:color="auto" w:fill="auto"/>
            <w:vAlign w:val="center"/>
          </w:tcPr>
          <w:p w14:paraId="21ADE1A4">
            <w:pPr>
              <w:widowControl/>
              <w:jc w:val="center"/>
              <w:rPr>
                <w:rFonts w:hint="eastAsia" w:ascii="宋体" w:hAnsi="宋体" w:eastAsia="宋体" w:cs="宋体"/>
                <w:kern w:val="0"/>
                <w:sz w:val="21"/>
                <w:szCs w:val="21"/>
              </w:rPr>
            </w:pPr>
            <w:r>
              <w:rPr>
                <w:rFonts w:hint="eastAsia" w:ascii="宋体" w:hAnsi="宋体" w:cs="宋体"/>
                <w:kern w:val="0"/>
                <w:sz w:val="21"/>
                <w:szCs w:val="21"/>
                <w:lang w:eastAsia="zh-CN"/>
              </w:rPr>
              <w:t>筛查</w:t>
            </w:r>
            <w:r>
              <w:rPr>
                <w:rFonts w:hint="eastAsia" w:ascii="宋体" w:hAnsi="宋体" w:eastAsia="宋体" w:cs="宋体"/>
                <w:kern w:val="0"/>
                <w:sz w:val="21"/>
                <w:szCs w:val="21"/>
              </w:rPr>
              <w:t>报告</w:t>
            </w:r>
          </w:p>
          <w:p w14:paraId="39C8C6C9">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自动生成</w:t>
            </w:r>
          </w:p>
        </w:tc>
        <w:tc>
          <w:tcPr>
            <w:tcW w:w="4206" w:type="dxa"/>
            <w:tcBorders>
              <w:top w:val="nil"/>
              <w:left w:val="nil"/>
              <w:bottom w:val="single" w:color="auto" w:sz="4" w:space="0"/>
              <w:right w:val="single" w:color="auto" w:sz="4" w:space="0"/>
            </w:tcBorders>
            <w:shd w:val="clear" w:color="auto" w:fill="auto"/>
            <w:vAlign w:val="bottom"/>
          </w:tcPr>
          <w:p w14:paraId="70BDFF2C">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用户可以根据业务需求，自定义</w:t>
            </w:r>
            <w:r>
              <w:rPr>
                <w:rFonts w:hint="eastAsia" w:ascii="宋体" w:hAnsi="宋体" w:cs="宋体"/>
                <w:kern w:val="0"/>
                <w:sz w:val="21"/>
                <w:szCs w:val="21"/>
                <w:lang w:eastAsia="zh-CN"/>
              </w:rPr>
              <w:t>筛查</w:t>
            </w:r>
            <w:r>
              <w:rPr>
                <w:rFonts w:hint="eastAsia" w:ascii="宋体" w:hAnsi="宋体" w:eastAsia="宋体" w:cs="宋体"/>
                <w:kern w:val="0"/>
                <w:sz w:val="21"/>
                <w:szCs w:val="21"/>
              </w:rPr>
              <w:t>范围（如按时间段、按地区、按机构类型、按特定业务条件等）并自动生成</w:t>
            </w:r>
            <w:r>
              <w:rPr>
                <w:rFonts w:hint="eastAsia" w:ascii="宋体" w:hAnsi="宋体" w:cs="宋体"/>
                <w:kern w:val="0"/>
                <w:sz w:val="21"/>
                <w:szCs w:val="21"/>
                <w:lang w:eastAsia="zh-CN"/>
              </w:rPr>
              <w:t>筛查</w:t>
            </w:r>
            <w:r>
              <w:rPr>
                <w:rFonts w:hint="eastAsia" w:ascii="宋体" w:hAnsi="宋体" w:eastAsia="宋体" w:cs="宋体"/>
                <w:kern w:val="0"/>
                <w:sz w:val="21"/>
                <w:szCs w:val="21"/>
              </w:rPr>
              <w:t>报告。</w:t>
            </w:r>
          </w:p>
        </w:tc>
      </w:tr>
      <w:tr w14:paraId="031898BC">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4CC81830">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63368A53">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2DFA8FA7">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5F508AFD">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系统对</w:t>
            </w:r>
            <w:r>
              <w:rPr>
                <w:rFonts w:hint="eastAsia" w:ascii="宋体" w:hAnsi="宋体" w:cs="宋体"/>
                <w:kern w:val="0"/>
                <w:sz w:val="21"/>
                <w:szCs w:val="21"/>
                <w:lang w:val="en-US" w:eastAsia="zh-CN"/>
              </w:rPr>
              <w:t>抽查的基本公共卫生服务项目的目标人群</w:t>
            </w:r>
            <w:r>
              <w:rPr>
                <w:rFonts w:hint="eastAsia" w:ascii="宋体" w:hAnsi="宋体" w:eastAsia="宋体" w:cs="宋体"/>
                <w:kern w:val="0"/>
                <w:sz w:val="21"/>
                <w:szCs w:val="21"/>
              </w:rPr>
              <w:t>数据库进行全量扫描，</w:t>
            </w:r>
            <w:r>
              <w:rPr>
                <w:rFonts w:hint="eastAsia" w:ascii="宋体" w:hAnsi="宋体" w:cs="宋体"/>
                <w:kern w:val="0"/>
                <w:sz w:val="21"/>
                <w:szCs w:val="21"/>
                <w:lang w:eastAsia="zh-CN"/>
              </w:rPr>
              <w:t>筛查</w:t>
            </w:r>
            <w:r>
              <w:rPr>
                <w:rFonts w:hint="eastAsia" w:ascii="宋体" w:hAnsi="宋体" w:eastAsia="宋体" w:cs="宋体"/>
                <w:kern w:val="0"/>
                <w:sz w:val="21"/>
                <w:szCs w:val="21"/>
              </w:rPr>
              <w:t>数据的完整性、准确性、一致性、逻辑性、规范性，并生成校验报告。</w:t>
            </w:r>
          </w:p>
        </w:tc>
      </w:tr>
      <w:tr w14:paraId="256AEDBD">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33311685">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2A017EBD">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01327D48">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2144CB02">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按社区卫生服务中心为单位，分类展示健康档案</w:t>
            </w:r>
            <w:r>
              <w:rPr>
                <w:rFonts w:hint="eastAsia" w:ascii="宋体" w:hAnsi="宋体" w:cs="宋体"/>
                <w:kern w:val="0"/>
                <w:sz w:val="21"/>
                <w:szCs w:val="21"/>
                <w:lang w:eastAsia="zh-CN"/>
              </w:rPr>
              <w:t>筛查</w:t>
            </w:r>
            <w:r>
              <w:rPr>
                <w:rFonts w:hint="eastAsia" w:ascii="宋体" w:hAnsi="宋体" w:eastAsia="宋体" w:cs="宋体"/>
                <w:kern w:val="0"/>
                <w:sz w:val="21"/>
                <w:szCs w:val="21"/>
              </w:rPr>
              <w:t>结果，包括档案总量、规范率等核心指标。</w:t>
            </w:r>
          </w:p>
        </w:tc>
      </w:tr>
      <w:tr w14:paraId="5454661D">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08DF552A">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269C0DAD">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3F5BF075">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44D19ACE">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系统支持按区域、社区、机构类型等维度自动分组，并对</w:t>
            </w:r>
            <w:r>
              <w:rPr>
                <w:rFonts w:hint="eastAsia" w:ascii="宋体" w:hAnsi="宋体" w:cs="宋体"/>
                <w:kern w:val="0"/>
                <w:sz w:val="21"/>
                <w:szCs w:val="21"/>
                <w:lang w:eastAsia="zh-CN"/>
              </w:rPr>
              <w:t>筛查</w:t>
            </w:r>
            <w:r>
              <w:rPr>
                <w:rFonts w:hint="eastAsia" w:ascii="宋体" w:hAnsi="宋体" w:eastAsia="宋体" w:cs="宋体"/>
                <w:kern w:val="0"/>
                <w:sz w:val="21"/>
                <w:szCs w:val="21"/>
              </w:rPr>
              <w:t>数据进行聚合统计。</w:t>
            </w:r>
          </w:p>
        </w:tc>
      </w:tr>
      <w:tr w14:paraId="425E6AC0">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4AFAA136">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6971A61D">
            <w:pPr>
              <w:widowControl/>
              <w:jc w:val="center"/>
              <w:rPr>
                <w:rFonts w:hint="eastAsia" w:ascii="宋体" w:hAnsi="宋体" w:eastAsia="宋体" w:cs="宋体"/>
                <w:kern w:val="0"/>
                <w:sz w:val="21"/>
                <w:szCs w:val="21"/>
              </w:rPr>
            </w:pPr>
          </w:p>
        </w:tc>
        <w:tc>
          <w:tcPr>
            <w:tcW w:w="1574" w:type="dxa"/>
            <w:vMerge w:val="restart"/>
            <w:tcBorders>
              <w:top w:val="nil"/>
              <w:left w:val="single" w:color="auto" w:sz="4" w:space="0"/>
              <w:bottom w:val="single" w:color="000000" w:sz="4" w:space="0"/>
              <w:right w:val="single" w:color="auto" w:sz="4" w:space="0"/>
            </w:tcBorders>
            <w:shd w:val="clear" w:color="auto" w:fill="auto"/>
            <w:vAlign w:val="center"/>
          </w:tcPr>
          <w:p w14:paraId="2AAD1DB0">
            <w:pPr>
              <w:widowControl/>
              <w:jc w:val="center"/>
              <w:rPr>
                <w:rFonts w:hint="eastAsia" w:ascii="宋体" w:hAnsi="宋体" w:eastAsia="宋体" w:cs="宋体"/>
                <w:kern w:val="0"/>
                <w:sz w:val="21"/>
                <w:szCs w:val="21"/>
              </w:rPr>
            </w:pPr>
            <w:r>
              <w:rPr>
                <w:rFonts w:hint="eastAsia" w:ascii="宋体" w:hAnsi="宋体" w:cs="宋体"/>
                <w:kern w:val="0"/>
                <w:sz w:val="21"/>
                <w:szCs w:val="21"/>
                <w:lang w:eastAsia="zh-CN"/>
              </w:rPr>
              <w:t>筛查</w:t>
            </w:r>
            <w:r>
              <w:rPr>
                <w:rFonts w:hint="eastAsia" w:ascii="宋体" w:hAnsi="宋体" w:eastAsia="宋体" w:cs="宋体"/>
                <w:kern w:val="0"/>
                <w:sz w:val="21"/>
                <w:szCs w:val="21"/>
              </w:rPr>
              <w:t>结果查询</w:t>
            </w:r>
          </w:p>
        </w:tc>
        <w:tc>
          <w:tcPr>
            <w:tcW w:w="4206" w:type="dxa"/>
            <w:tcBorders>
              <w:top w:val="nil"/>
              <w:left w:val="nil"/>
              <w:bottom w:val="single" w:color="auto" w:sz="4" w:space="0"/>
              <w:right w:val="single" w:color="auto" w:sz="4" w:space="0"/>
            </w:tcBorders>
            <w:shd w:val="clear" w:color="auto" w:fill="auto"/>
            <w:vAlign w:val="bottom"/>
          </w:tcPr>
          <w:p w14:paraId="44AD5FEA">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用户可以通过多种条件（如社区名称、时间范围、</w:t>
            </w:r>
            <w:r>
              <w:rPr>
                <w:rFonts w:hint="eastAsia" w:ascii="宋体" w:hAnsi="宋体" w:cs="宋体"/>
                <w:kern w:val="0"/>
                <w:sz w:val="21"/>
                <w:szCs w:val="21"/>
                <w:lang w:eastAsia="zh-CN"/>
              </w:rPr>
              <w:t>筛查</w:t>
            </w:r>
            <w:r>
              <w:rPr>
                <w:rFonts w:hint="eastAsia" w:ascii="宋体" w:hAnsi="宋体" w:eastAsia="宋体" w:cs="宋体"/>
                <w:kern w:val="0"/>
                <w:sz w:val="21"/>
                <w:szCs w:val="21"/>
              </w:rPr>
              <w:t>指标）查询</w:t>
            </w:r>
            <w:r>
              <w:rPr>
                <w:rFonts w:hint="eastAsia" w:ascii="宋体" w:hAnsi="宋体" w:cs="宋体"/>
                <w:kern w:val="0"/>
                <w:sz w:val="21"/>
                <w:szCs w:val="21"/>
                <w:lang w:eastAsia="zh-CN"/>
              </w:rPr>
              <w:t>筛查</w:t>
            </w:r>
            <w:r>
              <w:rPr>
                <w:rFonts w:hint="eastAsia" w:ascii="宋体" w:hAnsi="宋体" w:eastAsia="宋体" w:cs="宋体"/>
                <w:kern w:val="0"/>
                <w:sz w:val="21"/>
                <w:szCs w:val="21"/>
              </w:rPr>
              <w:t>结果，并实时查看详细数据。</w:t>
            </w:r>
          </w:p>
        </w:tc>
      </w:tr>
      <w:tr w14:paraId="0AC0A28B">
        <w:tblPrEx>
          <w:tblCellMar>
            <w:top w:w="0" w:type="dxa"/>
            <w:left w:w="108" w:type="dxa"/>
            <w:bottom w:w="0" w:type="dxa"/>
            <w:right w:w="108" w:type="dxa"/>
          </w:tblCellMar>
        </w:tblPrEx>
        <w:trPr>
          <w:trHeight w:val="540" w:hRule="atLeast"/>
        </w:trPr>
        <w:tc>
          <w:tcPr>
            <w:tcW w:w="1378" w:type="dxa"/>
            <w:vMerge w:val="continue"/>
            <w:tcBorders>
              <w:top w:val="nil"/>
              <w:left w:val="single" w:color="auto" w:sz="4" w:space="0"/>
              <w:bottom w:val="single" w:color="auto" w:sz="4" w:space="0"/>
              <w:right w:val="single" w:color="auto" w:sz="4" w:space="0"/>
            </w:tcBorders>
            <w:vAlign w:val="center"/>
          </w:tcPr>
          <w:p w14:paraId="23A68852">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0421ED30">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697999B7">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7C38F526">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支持从总览数据钻取到具体明细数据，例如从区域整体</w:t>
            </w:r>
            <w:r>
              <w:rPr>
                <w:rFonts w:hint="eastAsia" w:ascii="宋体" w:hAnsi="宋体" w:cs="宋体"/>
                <w:kern w:val="0"/>
                <w:sz w:val="21"/>
                <w:szCs w:val="21"/>
                <w:lang w:eastAsia="zh-CN"/>
              </w:rPr>
              <w:t>筛查</w:t>
            </w:r>
            <w:r>
              <w:rPr>
                <w:rFonts w:hint="eastAsia" w:ascii="宋体" w:hAnsi="宋体" w:eastAsia="宋体" w:cs="宋体"/>
                <w:kern w:val="0"/>
                <w:sz w:val="21"/>
                <w:szCs w:val="21"/>
              </w:rPr>
              <w:t>结果下钻到具体社区卫生服务中心</w:t>
            </w:r>
            <w:r>
              <w:rPr>
                <w:rFonts w:hint="eastAsia" w:ascii="宋体" w:hAnsi="宋体" w:cs="宋体"/>
                <w:kern w:val="0"/>
                <w:sz w:val="21"/>
                <w:szCs w:val="21"/>
                <w:lang w:eastAsia="zh-CN"/>
              </w:rPr>
              <w:t>筛查</w:t>
            </w:r>
            <w:r>
              <w:rPr>
                <w:rFonts w:hint="eastAsia" w:ascii="宋体" w:hAnsi="宋体" w:eastAsia="宋体" w:cs="宋体"/>
                <w:kern w:val="0"/>
                <w:sz w:val="21"/>
                <w:szCs w:val="21"/>
              </w:rPr>
              <w:t>情况。</w:t>
            </w:r>
          </w:p>
        </w:tc>
      </w:tr>
      <w:tr w14:paraId="573D5A84">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0D369E84">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2C1BDCB8">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bottom"/>
          </w:tcPr>
          <w:p w14:paraId="089BD88E">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bottom"/>
          </w:tcPr>
          <w:p w14:paraId="76F6E405">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支持将</w:t>
            </w:r>
            <w:r>
              <w:rPr>
                <w:rFonts w:hint="eastAsia" w:ascii="宋体" w:hAnsi="宋体" w:cs="宋体"/>
                <w:kern w:val="0"/>
                <w:sz w:val="21"/>
                <w:szCs w:val="21"/>
                <w:lang w:eastAsia="zh-CN"/>
              </w:rPr>
              <w:t>筛查</w:t>
            </w:r>
            <w:r>
              <w:rPr>
                <w:rFonts w:hint="eastAsia" w:ascii="宋体" w:hAnsi="宋体" w:eastAsia="宋体" w:cs="宋体"/>
                <w:kern w:val="0"/>
                <w:sz w:val="21"/>
                <w:szCs w:val="21"/>
              </w:rPr>
              <w:t>报告导出为多种格式（如 Word、Excel、PDF），并可选择导出全量数据或部分数据</w:t>
            </w:r>
          </w:p>
        </w:tc>
      </w:tr>
      <w:tr w14:paraId="419AF174">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60B41C68">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61399B6E">
            <w:pPr>
              <w:widowControl/>
              <w:jc w:val="center"/>
              <w:rPr>
                <w:rFonts w:hint="eastAsia" w:ascii="宋体" w:hAnsi="宋体" w:eastAsia="宋体" w:cs="宋体"/>
                <w:kern w:val="0"/>
                <w:sz w:val="21"/>
                <w:szCs w:val="21"/>
              </w:rPr>
            </w:pPr>
          </w:p>
        </w:tc>
        <w:tc>
          <w:tcPr>
            <w:tcW w:w="1574" w:type="dxa"/>
            <w:vMerge w:val="restart"/>
            <w:tcBorders>
              <w:top w:val="nil"/>
              <w:left w:val="single" w:color="auto" w:sz="4" w:space="0"/>
              <w:bottom w:val="single" w:color="000000" w:sz="4" w:space="0"/>
              <w:right w:val="single" w:color="auto" w:sz="4" w:space="0"/>
            </w:tcBorders>
            <w:shd w:val="clear" w:color="auto" w:fill="auto"/>
            <w:vAlign w:val="center"/>
          </w:tcPr>
          <w:p w14:paraId="6DE58E17">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趋势与对比</w:t>
            </w:r>
          </w:p>
          <w:p w14:paraId="249B1B51">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分析</w:t>
            </w:r>
          </w:p>
        </w:tc>
        <w:tc>
          <w:tcPr>
            <w:tcW w:w="4206" w:type="dxa"/>
            <w:tcBorders>
              <w:top w:val="nil"/>
              <w:left w:val="nil"/>
              <w:bottom w:val="single" w:color="auto" w:sz="4" w:space="0"/>
              <w:right w:val="single" w:color="auto" w:sz="4" w:space="0"/>
            </w:tcBorders>
            <w:shd w:val="clear" w:color="auto" w:fill="auto"/>
            <w:vAlign w:val="bottom"/>
          </w:tcPr>
          <w:p w14:paraId="3B5B369B">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系统支持按时间维度分析健康档案</w:t>
            </w:r>
            <w:r>
              <w:rPr>
                <w:rFonts w:hint="eastAsia" w:ascii="宋体" w:hAnsi="宋体" w:cs="宋体"/>
                <w:kern w:val="0"/>
                <w:sz w:val="21"/>
                <w:szCs w:val="21"/>
                <w:lang w:eastAsia="zh-CN"/>
              </w:rPr>
              <w:t>筛查</w:t>
            </w:r>
            <w:r>
              <w:rPr>
                <w:rFonts w:hint="eastAsia" w:ascii="宋体" w:hAnsi="宋体" w:eastAsia="宋体" w:cs="宋体"/>
                <w:kern w:val="0"/>
                <w:sz w:val="21"/>
                <w:szCs w:val="21"/>
              </w:rPr>
              <w:t>结果的关键指标变化趋势</w:t>
            </w:r>
          </w:p>
        </w:tc>
      </w:tr>
      <w:tr w14:paraId="33E94379">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74DBAEF4">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0EF56648">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center"/>
          </w:tcPr>
          <w:p w14:paraId="138EFECD">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center"/>
          </w:tcPr>
          <w:p w14:paraId="06415418">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支持对不同社区卫生服务中心的</w:t>
            </w:r>
            <w:r>
              <w:rPr>
                <w:rFonts w:hint="eastAsia" w:ascii="宋体" w:hAnsi="宋体" w:cs="宋体"/>
                <w:kern w:val="0"/>
                <w:sz w:val="21"/>
                <w:szCs w:val="21"/>
                <w:lang w:eastAsia="zh-CN"/>
              </w:rPr>
              <w:t>筛查</w:t>
            </w:r>
            <w:r>
              <w:rPr>
                <w:rFonts w:hint="eastAsia" w:ascii="宋体" w:hAnsi="宋体" w:eastAsia="宋体" w:cs="宋体"/>
                <w:kern w:val="0"/>
                <w:sz w:val="21"/>
                <w:szCs w:val="21"/>
              </w:rPr>
              <w:t>结果进行横向对比，为管理部门提供决策支持。</w:t>
            </w:r>
          </w:p>
        </w:tc>
      </w:tr>
      <w:tr w14:paraId="70CF0C98">
        <w:tblPrEx>
          <w:tblCellMar>
            <w:top w:w="0" w:type="dxa"/>
            <w:left w:w="108" w:type="dxa"/>
            <w:bottom w:w="0" w:type="dxa"/>
            <w:right w:w="108" w:type="dxa"/>
          </w:tblCellMar>
        </w:tblPrEx>
        <w:trPr>
          <w:trHeight w:val="280" w:hRule="atLeast"/>
        </w:trPr>
        <w:tc>
          <w:tcPr>
            <w:tcW w:w="1378" w:type="dxa"/>
            <w:vMerge w:val="continue"/>
            <w:tcBorders>
              <w:top w:val="nil"/>
              <w:left w:val="single" w:color="auto" w:sz="4" w:space="0"/>
              <w:bottom w:val="single" w:color="auto" w:sz="4" w:space="0"/>
              <w:right w:val="single" w:color="auto" w:sz="4" w:space="0"/>
            </w:tcBorders>
            <w:vAlign w:val="center"/>
          </w:tcPr>
          <w:p w14:paraId="7548F8B6">
            <w:pPr>
              <w:widowControl/>
              <w:jc w:val="center"/>
              <w:rPr>
                <w:rFonts w:hint="eastAsia" w:ascii="宋体" w:hAnsi="宋体" w:eastAsia="宋体" w:cs="宋体"/>
                <w:kern w:val="0"/>
                <w:sz w:val="21"/>
                <w:szCs w:val="21"/>
              </w:rPr>
            </w:pPr>
          </w:p>
        </w:tc>
        <w:tc>
          <w:tcPr>
            <w:tcW w:w="1902" w:type="dxa"/>
            <w:vMerge w:val="continue"/>
            <w:tcBorders>
              <w:top w:val="nil"/>
              <w:left w:val="single" w:color="auto" w:sz="4" w:space="0"/>
              <w:bottom w:val="single" w:color="auto" w:sz="4" w:space="0"/>
              <w:right w:val="single" w:color="auto" w:sz="4" w:space="0"/>
            </w:tcBorders>
            <w:vAlign w:val="center"/>
          </w:tcPr>
          <w:p w14:paraId="0200AE4A">
            <w:pPr>
              <w:widowControl/>
              <w:jc w:val="center"/>
              <w:rPr>
                <w:rFonts w:hint="eastAsia" w:ascii="宋体" w:hAnsi="宋体" w:eastAsia="宋体" w:cs="宋体"/>
                <w:kern w:val="0"/>
                <w:sz w:val="21"/>
                <w:szCs w:val="21"/>
              </w:rPr>
            </w:pPr>
          </w:p>
        </w:tc>
        <w:tc>
          <w:tcPr>
            <w:tcW w:w="1574" w:type="dxa"/>
            <w:vMerge w:val="continue"/>
            <w:tcBorders>
              <w:top w:val="nil"/>
              <w:left w:val="single" w:color="auto" w:sz="4" w:space="0"/>
              <w:bottom w:val="single" w:color="000000" w:sz="4" w:space="0"/>
              <w:right w:val="single" w:color="auto" w:sz="4" w:space="0"/>
            </w:tcBorders>
            <w:vAlign w:val="center"/>
          </w:tcPr>
          <w:p w14:paraId="6B261481">
            <w:pPr>
              <w:widowControl/>
              <w:jc w:val="both"/>
              <w:rPr>
                <w:rFonts w:hint="eastAsia" w:ascii="宋体" w:hAnsi="宋体" w:eastAsia="宋体" w:cs="宋体"/>
                <w:kern w:val="0"/>
                <w:sz w:val="21"/>
                <w:szCs w:val="21"/>
              </w:rPr>
            </w:pPr>
          </w:p>
        </w:tc>
        <w:tc>
          <w:tcPr>
            <w:tcW w:w="4206" w:type="dxa"/>
            <w:tcBorders>
              <w:top w:val="nil"/>
              <w:left w:val="nil"/>
              <w:bottom w:val="single" w:color="auto" w:sz="4" w:space="0"/>
              <w:right w:val="single" w:color="auto" w:sz="4" w:space="0"/>
            </w:tcBorders>
            <w:shd w:val="clear" w:color="auto" w:fill="auto"/>
            <w:vAlign w:val="center"/>
          </w:tcPr>
          <w:p w14:paraId="2529F356">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提供多种可视化图表（如柱状图、饼图、折线图、热力图等），直观展示</w:t>
            </w:r>
            <w:r>
              <w:rPr>
                <w:rFonts w:hint="eastAsia" w:ascii="宋体" w:hAnsi="宋体" w:cs="宋体"/>
                <w:kern w:val="0"/>
                <w:sz w:val="21"/>
                <w:szCs w:val="21"/>
                <w:lang w:eastAsia="zh-CN"/>
              </w:rPr>
              <w:t>筛查</w:t>
            </w:r>
            <w:r>
              <w:rPr>
                <w:rFonts w:hint="eastAsia" w:ascii="宋体" w:hAnsi="宋体" w:eastAsia="宋体" w:cs="宋体"/>
                <w:kern w:val="0"/>
                <w:sz w:val="21"/>
                <w:szCs w:val="21"/>
              </w:rPr>
              <w:t>结果和分析数据。</w:t>
            </w:r>
          </w:p>
        </w:tc>
      </w:tr>
    </w:tbl>
    <w:p w14:paraId="28A2E354">
      <w:pPr>
        <w:keepNext w:val="0"/>
        <w:keepLines w:val="0"/>
        <w:pageBreakBefore w:val="0"/>
        <w:wordWrap/>
        <w:topLinePunct w:val="0"/>
        <w:bidi w:val="0"/>
        <w:spacing w:after="0"/>
        <w:jc w:val="both"/>
        <w:rPr>
          <w:rFonts w:hint="eastAsia" w:ascii="黑体" w:hAnsi="黑体" w:eastAsia="黑体" w:cs="黑体"/>
          <w:b w:val="0"/>
          <w:bCs w:val="0"/>
          <w:sz w:val="32"/>
          <w:szCs w:val="32"/>
          <w:lang w:val="en-US" w:eastAsia="zh-CN"/>
        </w:rPr>
      </w:pPr>
    </w:p>
    <w:p w14:paraId="267F77A2">
      <w:pP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br w:type="page"/>
      </w:r>
    </w:p>
    <w:p w14:paraId="6E3C0378">
      <w:pPr>
        <w:keepNext w:val="0"/>
        <w:keepLines w:val="0"/>
        <w:pageBreakBefore w:val="0"/>
        <w:wordWrap/>
        <w:topLinePunct w:val="0"/>
        <w:bidi w:val="0"/>
        <w:spacing w:after="0"/>
        <w:jc w:val="both"/>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2.2国家基本公共卫生服务知晓率、满意度调查技术参数要求</w:t>
      </w:r>
    </w:p>
    <w:tbl>
      <w:tblPr>
        <w:tblStyle w:val="10"/>
        <w:tblW w:w="89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409"/>
        <w:gridCol w:w="1815"/>
        <w:gridCol w:w="5743"/>
      </w:tblGrid>
      <w:tr w14:paraId="20277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8" w:hRule="atLeast"/>
        </w:trPr>
        <w:tc>
          <w:tcPr>
            <w:tcW w:w="1409" w:type="dxa"/>
            <w:shd w:val="clear" w:color="auto" w:fill="auto"/>
            <w:noWrap/>
            <w:vAlign w:val="center"/>
          </w:tcPr>
          <w:p w14:paraId="1237FE84">
            <w:pPr>
              <w:keepNext w:val="0"/>
              <w:keepLines w:val="0"/>
              <w:widowControl/>
              <w:suppressLineNumbers w:val="0"/>
              <w:wordWrap/>
              <w:spacing w:line="240" w:lineRule="auto"/>
              <w:jc w:val="center"/>
              <w:textAlignment w:val="center"/>
              <w:rPr>
                <w:rFonts w:hint="eastAsia" w:ascii="宋体" w:hAnsi="宋体" w:eastAsia="宋体" w:cs="宋体"/>
                <w:b/>
                <w:bCs/>
                <w:color w:val="000000"/>
                <w:sz w:val="21"/>
                <w:szCs w:val="21"/>
              </w:rPr>
            </w:pPr>
            <w:bookmarkStart w:id="0" w:name="_Toc18134922"/>
            <w:r>
              <w:rPr>
                <w:rFonts w:hint="eastAsia" w:ascii="宋体" w:hAnsi="宋体" w:eastAsia="宋体" w:cs="宋体"/>
                <w:b/>
                <w:bCs/>
                <w:color w:val="000000"/>
                <w:kern w:val="0"/>
                <w:sz w:val="21"/>
                <w:szCs w:val="21"/>
                <w:lang w:val="en-US" w:eastAsia="zh-CN" w:bidi="ar"/>
              </w:rPr>
              <w:t>模块</w:t>
            </w:r>
          </w:p>
        </w:tc>
        <w:tc>
          <w:tcPr>
            <w:tcW w:w="1815" w:type="dxa"/>
            <w:shd w:val="clear" w:color="auto" w:fill="auto"/>
            <w:noWrap/>
            <w:vAlign w:val="center"/>
          </w:tcPr>
          <w:p w14:paraId="24AD47E5">
            <w:pPr>
              <w:keepNext w:val="0"/>
              <w:keepLines w:val="0"/>
              <w:widowControl/>
              <w:suppressLineNumbers w:val="0"/>
              <w:wordWrap/>
              <w:spacing w:line="240" w:lineRule="auto"/>
              <w:jc w:val="center"/>
              <w:textAlignment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功能点</w:t>
            </w:r>
          </w:p>
        </w:tc>
        <w:tc>
          <w:tcPr>
            <w:tcW w:w="5743" w:type="dxa"/>
            <w:shd w:val="clear" w:color="auto" w:fill="auto"/>
            <w:vAlign w:val="center"/>
          </w:tcPr>
          <w:p w14:paraId="565C863F">
            <w:pPr>
              <w:keepNext w:val="0"/>
              <w:keepLines w:val="0"/>
              <w:widowControl/>
              <w:suppressLineNumbers w:val="0"/>
              <w:wordWrap/>
              <w:spacing w:line="240" w:lineRule="auto"/>
              <w:jc w:val="center"/>
              <w:textAlignment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功能介绍</w:t>
            </w:r>
          </w:p>
        </w:tc>
      </w:tr>
      <w:tr w14:paraId="127A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44" w:hRule="atLeast"/>
        </w:trPr>
        <w:tc>
          <w:tcPr>
            <w:tcW w:w="1409" w:type="dxa"/>
            <w:vMerge w:val="restart"/>
            <w:shd w:val="clear" w:color="auto" w:fill="auto"/>
            <w:noWrap/>
            <w:vAlign w:val="center"/>
          </w:tcPr>
          <w:p w14:paraId="3AEC2908">
            <w:pPr>
              <w:keepNext w:val="0"/>
              <w:keepLines w:val="0"/>
              <w:widowControl/>
              <w:suppressLineNumbers w:val="0"/>
              <w:wordWrap/>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服务监测</w:t>
            </w:r>
          </w:p>
          <w:p w14:paraId="59C03918">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中心</w:t>
            </w:r>
          </w:p>
        </w:tc>
        <w:tc>
          <w:tcPr>
            <w:tcW w:w="1815" w:type="dxa"/>
            <w:shd w:val="clear" w:color="auto" w:fill="auto"/>
            <w:noWrap/>
            <w:vAlign w:val="center"/>
          </w:tcPr>
          <w:p w14:paraId="51023EC8">
            <w:pPr>
              <w:keepNext w:val="0"/>
              <w:keepLines w:val="0"/>
              <w:widowControl/>
              <w:suppressLineNumbers w:val="0"/>
              <w:wordWrap/>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服务监测</w:t>
            </w:r>
          </w:p>
          <w:p w14:paraId="31555206">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数据分析</w:t>
            </w:r>
          </w:p>
        </w:tc>
        <w:tc>
          <w:tcPr>
            <w:tcW w:w="5743" w:type="dxa"/>
            <w:shd w:val="clear" w:color="auto" w:fill="auto"/>
            <w:vAlign w:val="center"/>
          </w:tcPr>
          <w:p w14:paraId="49E6A710">
            <w:pPr>
              <w:keepNext w:val="0"/>
              <w:keepLines w:val="0"/>
              <w:widowControl/>
              <w:suppressLineNumbers w:val="0"/>
              <w:wordWrap/>
              <w:spacing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lang w:val="en-US" w:eastAsia="zh-CN" w:bidi="ar"/>
              </w:rPr>
              <w:t>支持将群众非标准结构化回复的不满意原因收集，智能分析整理成结构化的不满意原因分类及提供下钻具体原因分析</w:t>
            </w:r>
            <w:r>
              <w:rPr>
                <w:rFonts w:hint="eastAsia" w:ascii="宋体" w:hAnsi="宋体" w:cs="宋体"/>
                <w:color w:val="auto"/>
                <w:kern w:val="0"/>
                <w:sz w:val="21"/>
                <w:szCs w:val="21"/>
                <w:lang w:val="en-US" w:eastAsia="zh-CN" w:bidi="ar"/>
              </w:rPr>
              <w:t>。</w:t>
            </w:r>
          </w:p>
        </w:tc>
      </w:tr>
      <w:tr w14:paraId="0280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409" w:type="dxa"/>
            <w:vMerge w:val="continue"/>
            <w:shd w:val="clear" w:color="auto" w:fill="auto"/>
            <w:noWrap/>
            <w:vAlign w:val="center"/>
          </w:tcPr>
          <w:p w14:paraId="4E4E79DF">
            <w:pPr>
              <w:jc w:val="center"/>
              <w:rPr>
                <w:rFonts w:hint="eastAsia" w:ascii="宋体" w:hAnsi="宋体" w:eastAsia="宋体" w:cs="宋体"/>
                <w:color w:val="000000"/>
                <w:sz w:val="21"/>
                <w:szCs w:val="21"/>
              </w:rPr>
            </w:pPr>
          </w:p>
        </w:tc>
        <w:tc>
          <w:tcPr>
            <w:tcW w:w="1815" w:type="dxa"/>
            <w:shd w:val="clear" w:color="auto" w:fill="auto"/>
            <w:noWrap/>
            <w:vAlign w:val="center"/>
          </w:tcPr>
          <w:p w14:paraId="7544E044">
            <w:pPr>
              <w:keepNext w:val="0"/>
              <w:keepLines w:val="0"/>
              <w:widowControl/>
              <w:suppressLineNumbers w:val="0"/>
              <w:wordWrap/>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自定义</w:t>
            </w:r>
          </w:p>
          <w:p w14:paraId="410E99A4">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监测维度</w:t>
            </w:r>
          </w:p>
        </w:tc>
        <w:tc>
          <w:tcPr>
            <w:tcW w:w="5743" w:type="dxa"/>
            <w:shd w:val="clear" w:color="auto" w:fill="auto"/>
            <w:vAlign w:val="center"/>
          </w:tcPr>
          <w:p w14:paraId="79ECDD82">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支持按需求定制服务质量监测的维度，包括：定制化智能语音调查模板、定制问卷模板等，并在系统中可新增配置对应的监测指标</w:t>
            </w:r>
            <w:r>
              <w:rPr>
                <w:rFonts w:hint="eastAsia" w:ascii="宋体" w:hAnsi="宋体" w:cs="宋体"/>
                <w:color w:val="auto"/>
                <w:kern w:val="0"/>
                <w:sz w:val="21"/>
                <w:szCs w:val="21"/>
                <w:lang w:val="en-US" w:eastAsia="zh-CN" w:bidi="ar"/>
              </w:rPr>
              <w:t>。</w:t>
            </w:r>
            <w:bookmarkStart w:id="1" w:name="_GoBack"/>
            <w:bookmarkEnd w:id="1"/>
          </w:p>
        </w:tc>
      </w:tr>
      <w:tr w14:paraId="3F01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trPr>
        <w:tc>
          <w:tcPr>
            <w:tcW w:w="1409" w:type="dxa"/>
            <w:vMerge w:val="restart"/>
            <w:shd w:val="clear" w:color="auto" w:fill="auto"/>
            <w:noWrap/>
            <w:vAlign w:val="center"/>
          </w:tcPr>
          <w:p w14:paraId="6FEC8256">
            <w:pPr>
              <w:keepNext w:val="0"/>
              <w:keepLines w:val="0"/>
              <w:widowControl/>
              <w:suppressLineNumbers w:val="0"/>
              <w:wordWrap/>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智能外呼</w:t>
            </w:r>
          </w:p>
          <w:p w14:paraId="2A8AA5E6">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lang w:val="en-US"/>
              </w:rPr>
            </w:pPr>
            <w:r>
              <w:rPr>
                <w:rFonts w:hint="eastAsia" w:ascii="宋体" w:hAnsi="宋体" w:eastAsia="宋体" w:cs="宋体"/>
                <w:color w:val="000000"/>
                <w:kern w:val="0"/>
                <w:sz w:val="21"/>
                <w:szCs w:val="21"/>
                <w:lang w:val="en-US" w:eastAsia="zh-CN" w:bidi="ar"/>
              </w:rPr>
              <w:t>平台</w:t>
            </w:r>
          </w:p>
        </w:tc>
        <w:tc>
          <w:tcPr>
            <w:tcW w:w="1815" w:type="dxa"/>
            <w:shd w:val="clear" w:color="auto" w:fill="auto"/>
            <w:noWrap/>
            <w:vAlign w:val="center"/>
          </w:tcPr>
          <w:p w14:paraId="50A14B18">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外呼对话详情</w:t>
            </w:r>
          </w:p>
        </w:tc>
        <w:tc>
          <w:tcPr>
            <w:tcW w:w="5743" w:type="dxa"/>
            <w:shd w:val="clear" w:color="auto" w:fill="auto"/>
            <w:vAlign w:val="center"/>
          </w:tcPr>
          <w:p w14:paraId="33BE1B3E">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查看对话详情记录，展示外呼机器人和客户对话的详细记录，支持语音下载、对话详情导出。</w:t>
            </w:r>
          </w:p>
        </w:tc>
      </w:tr>
      <w:tr w14:paraId="59FB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4" w:hRule="atLeast"/>
        </w:trPr>
        <w:tc>
          <w:tcPr>
            <w:tcW w:w="1409" w:type="dxa"/>
            <w:vMerge w:val="continue"/>
            <w:shd w:val="clear" w:color="auto" w:fill="auto"/>
            <w:noWrap/>
            <w:vAlign w:val="center"/>
          </w:tcPr>
          <w:p w14:paraId="449E1FCA">
            <w:pPr>
              <w:jc w:val="center"/>
              <w:rPr>
                <w:rFonts w:hint="eastAsia" w:ascii="宋体" w:hAnsi="宋体" w:eastAsia="宋体" w:cs="宋体"/>
                <w:color w:val="000000"/>
                <w:sz w:val="21"/>
                <w:szCs w:val="21"/>
              </w:rPr>
            </w:pPr>
          </w:p>
        </w:tc>
        <w:tc>
          <w:tcPr>
            <w:tcW w:w="1815" w:type="dxa"/>
            <w:shd w:val="clear" w:color="auto" w:fill="auto"/>
            <w:noWrap/>
            <w:vAlign w:val="center"/>
          </w:tcPr>
          <w:p w14:paraId="597BDF41">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居民档案数据自动化清洗</w:t>
            </w:r>
          </w:p>
        </w:tc>
        <w:tc>
          <w:tcPr>
            <w:tcW w:w="5743" w:type="dxa"/>
            <w:shd w:val="clear" w:color="auto" w:fill="auto"/>
            <w:vAlign w:val="center"/>
          </w:tcPr>
          <w:p w14:paraId="46B3F5E8">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excel导入/系统调用抽取到的居民档案，进入系统的数据清洗模块中，自动识别出档案中的姓名不符合规则、号码位数不符、同一号码大量重复、档案存在空错漏项等多类型问题的清洗结果</w:t>
            </w:r>
            <w:r>
              <w:rPr>
                <w:rFonts w:hint="eastAsia" w:ascii="宋体" w:hAnsi="宋体" w:cs="宋体"/>
                <w:color w:val="auto"/>
                <w:kern w:val="0"/>
                <w:sz w:val="21"/>
                <w:szCs w:val="21"/>
                <w:lang w:val="en-US" w:eastAsia="zh-CN" w:bidi="ar"/>
              </w:rPr>
              <w:t>。</w:t>
            </w:r>
          </w:p>
        </w:tc>
      </w:tr>
      <w:tr w14:paraId="72EE7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2116B099">
            <w:pPr>
              <w:jc w:val="center"/>
              <w:rPr>
                <w:rFonts w:hint="eastAsia" w:ascii="宋体" w:hAnsi="宋体" w:eastAsia="宋体" w:cs="宋体"/>
                <w:color w:val="000000"/>
                <w:sz w:val="21"/>
                <w:szCs w:val="21"/>
              </w:rPr>
            </w:pPr>
          </w:p>
        </w:tc>
        <w:tc>
          <w:tcPr>
            <w:tcW w:w="1815" w:type="dxa"/>
            <w:shd w:val="clear" w:color="auto" w:fill="auto"/>
            <w:noWrap/>
            <w:vAlign w:val="center"/>
          </w:tcPr>
          <w:p w14:paraId="7C53C0B5">
            <w:pPr>
              <w:keepNext w:val="0"/>
              <w:keepLines w:val="0"/>
              <w:widowControl/>
              <w:suppressLineNumbers w:val="0"/>
              <w:wordWrap/>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居民个性化</w:t>
            </w:r>
          </w:p>
          <w:p w14:paraId="34AA13DF">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标签</w:t>
            </w:r>
          </w:p>
        </w:tc>
        <w:tc>
          <w:tcPr>
            <w:tcW w:w="5743" w:type="dxa"/>
            <w:shd w:val="clear" w:color="auto" w:fill="auto"/>
            <w:vAlign w:val="center"/>
          </w:tcPr>
          <w:p w14:paraId="6035413B">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平台支持用户根据情况给不同类型的居民进行人工个性化标签标记，便于对居民进行分类和管理</w:t>
            </w:r>
            <w:r>
              <w:rPr>
                <w:rFonts w:hint="eastAsia" w:ascii="宋体" w:hAnsi="宋体" w:cs="宋体"/>
                <w:color w:val="auto"/>
                <w:kern w:val="0"/>
                <w:sz w:val="21"/>
                <w:szCs w:val="21"/>
                <w:lang w:val="en-US" w:eastAsia="zh-CN" w:bidi="ar"/>
              </w:rPr>
              <w:t>。</w:t>
            </w:r>
          </w:p>
        </w:tc>
      </w:tr>
      <w:tr w14:paraId="3075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trPr>
        <w:tc>
          <w:tcPr>
            <w:tcW w:w="1409" w:type="dxa"/>
            <w:vMerge w:val="continue"/>
            <w:shd w:val="clear" w:color="auto" w:fill="auto"/>
            <w:noWrap/>
            <w:vAlign w:val="center"/>
          </w:tcPr>
          <w:p w14:paraId="48FB022E">
            <w:pPr>
              <w:jc w:val="center"/>
              <w:rPr>
                <w:rFonts w:hint="eastAsia" w:ascii="宋体" w:hAnsi="宋体" w:eastAsia="宋体" w:cs="宋体"/>
                <w:color w:val="000000"/>
                <w:sz w:val="21"/>
                <w:szCs w:val="21"/>
              </w:rPr>
            </w:pPr>
          </w:p>
        </w:tc>
        <w:tc>
          <w:tcPr>
            <w:tcW w:w="1815" w:type="dxa"/>
            <w:shd w:val="clear" w:color="auto" w:fill="auto"/>
            <w:noWrap/>
            <w:vAlign w:val="center"/>
          </w:tcPr>
          <w:p w14:paraId="49B5DCB2">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自动化</w:t>
            </w:r>
            <w:r>
              <w:rPr>
                <w:rFonts w:hint="eastAsia" w:ascii="宋体" w:hAnsi="宋体" w:cs="宋体"/>
                <w:color w:val="000000"/>
                <w:kern w:val="0"/>
                <w:sz w:val="21"/>
                <w:szCs w:val="21"/>
                <w:lang w:val="en-US" w:eastAsia="zh-CN" w:bidi="ar"/>
              </w:rPr>
              <w:t>调查</w:t>
            </w:r>
            <w:r>
              <w:rPr>
                <w:rFonts w:hint="eastAsia" w:ascii="宋体" w:hAnsi="宋体" w:eastAsia="宋体" w:cs="宋体"/>
                <w:color w:val="000000"/>
                <w:kern w:val="0"/>
                <w:sz w:val="21"/>
                <w:szCs w:val="21"/>
                <w:lang w:val="en-US" w:eastAsia="zh-CN" w:bidi="ar"/>
              </w:rPr>
              <w:t>结果标签标注及人工复核</w:t>
            </w:r>
          </w:p>
        </w:tc>
        <w:tc>
          <w:tcPr>
            <w:tcW w:w="5743" w:type="dxa"/>
            <w:shd w:val="clear" w:color="auto" w:fill="auto"/>
            <w:vAlign w:val="center"/>
          </w:tcPr>
          <w:p w14:paraId="669850FE">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支持判断细分通话状态和自动标注标签，包括：已接通、无人接通、空号、停机、无法接通、占线/拒绝、关机等。支持根据对话自动标注标签，可自定义设置不同标签分发至人工跟进。人工复核跟进的过程（动作记录、录音等</w:t>
            </w:r>
            <w:r>
              <w:rPr>
                <w:rFonts w:hint="eastAsia" w:ascii="宋体" w:hAnsi="宋体" w:cs="宋体"/>
                <w:color w:val="auto"/>
                <w:kern w:val="0"/>
                <w:sz w:val="21"/>
                <w:szCs w:val="21"/>
                <w:lang w:val="en-US" w:eastAsia="zh-CN" w:bidi="ar"/>
              </w:rPr>
              <w:t>）在</w:t>
            </w:r>
            <w:r>
              <w:rPr>
                <w:rFonts w:hint="eastAsia" w:ascii="宋体" w:hAnsi="宋体" w:eastAsia="宋体" w:cs="宋体"/>
                <w:color w:val="auto"/>
                <w:kern w:val="0"/>
                <w:sz w:val="21"/>
                <w:szCs w:val="21"/>
                <w:lang w:val="en-US" w:eastAsia="zh-CN" w:bidi="ar"/>
              </w:rPr>
              <w:t>系统中可查</w:t>
            </w:r>
            <w:r>
              <w:rPr>
                <w:rFonts w:hint="eastAsia" w:ascii="宋体" w:hAnsi="宋体" w:cs="宋体"/>
                <w:color w:val="auto"/>
                <w:kern w:val="0"/>
                <w:sz w:val="21"/>
                <w:szCs w:val="21"/>
                <w:lang w:val="en-US" w:eastAsia="zh-CN" w:bidi="ar"/>
              </w:rPr>
              <w:t>。</w:t>
            </w:r>
          </w:p>
        </w:tc>
      </w:tr>
      <w:tr w14:paraId="2DB8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1409" w:type="dxa"/>
            <w:vMerge w:val="continue"/>
            <w:shd w:val="clear" w:color="auto" w:fill="auto"/>
            <w:noWrap/>
            <w:vAlign w:val="center"/>
          </w:tcPr>
          <w:p w14:paraId="7E5F1475">
            <w:pPr>
              <w:jc w:val="center"/>
              <w:rPr>
                <w:rFonts w:hint="eastAsia" w:ascii="宋体" w:hAnsi="宋体" w:eastAsia="宋体" w:cs="宋体"/>
                <w:color w:val="000000"/>
                <w:sz w:val="21"/>
                <w:szCs w:val="21"/>
              </w:rPr>
            </w:pPr>
          </w:p>
        </w:tc>
        <w:tc>
          <w:tcPr>
            <w:tcW w:w="1815" w:type="dxa"/>
            <w:shd w:val="clear" w:color="auto" w:fill="auto"/>
            <w:noWrap/>
            <w:vAlign w:val="center"/>
          </w:tcPr>
          <w:p w14:paraId="4733D4CD">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支持多途径拨打智能语音电话</w:t>
            </w:r>
          </w:p>
        </w:tc>
        <w:tc>
          <w:tcPr>
            <w:tcW w:w="5743" w:type="dxa"/>
            <w:shd w:val="clear" w:color="auto" w:fill="auto"/>
            <w:vAlign w:val="center"/>
          </w:tcPr>
          <w:p w14:paraId="45915D5F">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平台支持多种途径拨打智能语音电话，包括外部导入名单、调用接口直接自动拨打、批量选择居民拨打电话等方式，满足不同场景下的通讯需求，提高</w:t>
            </w:r>
            <w:r>
              <w:rPr>
                <w:rFonts w:hint="eastAsia" w:ascii="宋体" w:hAnsi="宋体" w:cs="宋体"/>
                <w:color w:val="auto"/>
                <w:kern w:val="0"/>
                <w:sz w:val="21"/>
                <w:szCs w:val="21"/>
                <w:lang w:val="en-US" w:eastAsia="zh-CN" w:bidi="ar"/>
              </w:rPr>
              <w:t>调查</w:t>
            </w:r>
            <w:r>
              <w:rPr>
                <w:rFonts w:hint="eastAsia" w:ascii="宋体" w:hAnsi="宋体" w:eastAsia="宋体" w:cs="宋体"/>
                <w:color w:val="auto"/>
                <w:kern w:val="0"/>
                <w:sz w:val="21"/>
                <w:szCs w:val="21"/>
                <w:lang w:val="en-US" w:eastAsia="zh-CN" w:bidi="ar"/>
              </w:rPr>
              <w:t>效率。</w:t>
            </w:r>
          </w:p>
        </w:tc>
      </w:tr>
      <w:tr w14:paraId="4493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44" w:hRule="atLeast"/>
        </w:trPr>
        <w:tc>
          <w:tcPr>
            <w:tcW w:w="1409" w:type="dxa"/>
            <w:vMerge w:val="continue"/>
            <w:shd w:val="clear" w:color="auto" w:fill="auto"/>
            <w:noWrap/>
            <w:vAlign w:val="center"/>
          </w:tcPr>
          <w:p w14:paraId="6A29B01E">
            <w:pPr>
              <w:jc w:val="center"/>
              <w:rPr>
                <w:rFonts w:hint="eastAsia" w:ascii="宋体" w:hAnsi="宋体" w:eastAsia="宋体" w:cs="宋体"/>
                <w:color w:val="000000"/>
                <w:sz w:val="21"/>
                <w:szCs w:val="21"/>
              </w:rPr>
            </w:pPr>
          </w:p>
        </w:tc>
        <w:tc>
          <w:tcPr>
            <w:tcW w:w="1815" w:type="dxa"/>
            <w:vMerge w:val="restart"/>
            <w:shd w:val="clear" w:color="auto" w:fill="auto"/>
            <w:noWrap/>
            <w:vAlign w:val="center"/>
          </w:tcPr>
          <w:p w14:paraId="359BB31E">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支持粤</w:t>
            </w:r>
            <w:r>
              <w:rPr>
                <w:rFonts w:hint="eastAsia" w:ascii="宋体" w:hAnsi="宋体" w:cs="宋体"/>
                <w:color w:val="000000"/>
                <w:kern w:val="0"/>
                <w:sz w:val="21"/>
                <w:szCs w:val="21"/>
                <w:lang w:val="en-US" w:eastAsia="zh-CN" w:bidi="ar"/>
              </w:rPr>
              <w:t>语</w:t>
            </w:r>
            <w:r>
              <w:rPr>
                <w:rFonts w:hint="eastAsia" w:ascii="宋体" w:hAnsi="宋体" w:eastAsia="宋体" w:cs="宋体"/>
                <w:color w:val="000000"/>
                <w:kern w:val="0"/>
                <w:sz w:val="21"/>
                <w:szCs w:val="21"/>
                <w:lang w:val="en-US" w:eastAsia="zh-CN" w:bidi="ar"/>
              </w:rPr>
              <w:t>模型对话能力</w:t>
            </w:r>
          </w:p>
        </w:tc>
        <w:tc>
          <w:tcPr>
            <w:tcW w:w="5743" w:type="dxa"/>
            <w:shd w:val="clear" w:color="auto" w:fill="auto"/>
            <w:vAlign w:val="center"/>
          </w:tcPr>
          <w:p w14:paraId="496ED820">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支持粤语语音合成的智能语音模型，能实现高质量的粤语语音合成。合成音自然流畅，能够准确表达粤语的语音特点，满足用户在粤语环境下的语音交互需求。</w:t>
            </w:r>
          </w:p>
        </w:tc>
      </w:tr>
      <w:tr w14:paraId="5DE8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4EC17B90">
            <w:pPr>
              <w:jc w:val="center"/>
              <w:rPr>
                <w:rFonts w:hint="eastAsia" w:ascii="宋体" w:hAnsi="宋体" w:eastAsia="宋体" w:cs="宋体"/>
                <w:color w:val="000000"/>
                <w:sz w:val="21"/>
                <w:szCs w:val="21"/>
              </w:rPr>
            </w:pPr>
          </w:p>
        </w:tc>
        <w:tc>
          <w:tcPr>
            <w:tcW w:w="1815" w:type="dxa"/>
            <w:vMerge w:val="continue"/>
            <w:shd w:val="clear" w:color="auto" w:fill="auto"/>
            <w:noWrap/>
            <w:vAlign w:val="center"/>
          </w:tcPr>
          <w:p w14:paraId="2B4E876B">
            <w:pPr>
              <w:jc w:val="center"/>
              <w:rPr>
                <w:rFonts w:hint="eastAsia" w:ascii="宋体" w:hAnsi="宋体" w:eastAsia="宋体" w:cs="宋体"/>
                <w:color w:val="000000"/>
                <w:sz w:val="21"/>
                <w:szCs w:val="21"/>
              </w:rPr>
            </w:pPr>
          </w:p>
        </w:tc>
        <w:tc>
          <w:tcPr>
            <w:tcW w:w="5743" w:type="dxa"/>
            <w:shd w:val="clear" w:color="auto" w:fill="auto"/>
            <w:vAlign w:val="center"/>
          </w:tcPr>
          <w:p w14:paraId="7EB82EED">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支持真人录音合成，在外呼中能实现更真实真人录音交流。</w:t>
            </w:r>
          </w:p>
        </w:tc>
      </w:tr>
      <w:tr w14:paraId="4F3B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49FE15EE">
            <w:pPr>
              <w:jc w:val="center"/>
              <w:rPr>
                <w:rFonts w:hint="eastAsia" w:ascii="宋体" w:hAnsi="宋体" w:eastAsia="宋体" w:cs="宋体"/>
                <w:color w:val="000000"/>
                <w:sz w:val="21"/>
                <w:szCs w:val="21"/>
              </w:rPr>
            </w:pPr>
          </w:p>
        </w:tc>
        <w:tc>
          <w:tcPr>
            <w:tcW w:w="1815" w:type="dxa"/>
            <w:shd w:val="clear" w:color="auto" w:fill="auto"/>
            <w:noWrap/>
            <w:vAlign w:val="center"/>
          </w:tcPr>
          <w:p w14:paraId="4F035224">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智能语音电话外呼监控</w:t>
            </w:r>
          </w:p>
        </w:tc>
        <w:tc>
          <w:tcPr>
            <w:tcW w:w="5743" w:type="dxa"/>
            <w:shd w:val="clear" w:color="auto" w:fill="auto"/>
            <w:vAlign w:val="center"/>
          </w:tcPr>
          <w:p w14:paraId="04150AB2">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管理人员可通过统计视图监控系统中所有在途外呼项目执行状态、外呼任务执行进度等信息并且可以关闭某一个外呼项目。对外呼执行的过程有一个把控，能够很大程度减少外呼过程的失误，增强外呼结果的成功程度。</w:t>
            </w:r>
          </w:p>
        </w:tc>
      </w:tr>
      <w:tr w14:paraId="431A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5B797A6E">
            <w:pPr>
              <w:jc w:val="center"/>
              <w:rPr>
                <w:rFonts w:hint="eastAsia" w:ascii="宋体" w:hAnsi="宋体" w:eastAsia="宋体" w:cs="宋体"/>
                <w:color w:val="000000"/>
                <w:sz w:val="21"/>
                <w:szCs w:val="21"/>
              </w:rPr>
            </w:pPr>
          </w:p>
        </w:tc>
        <w:tc>
          <w:tcPr>
            <w:tcW w:w="1815" w:type="dxa"/>
            <w:shd w:val="clear" w:color="auto" w:fill="auto"/>
            <w:noWrap/>
            <w:vAlign w:val="center"/>
          </w:tcPr>
          <w:p w14:paraId="485917B2">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智能语音电话外呼实例</w:t>
            </w:r>
          </w:p>
        </w:tc>
        <w:tc>
          <w:tcPr>
            <w:tcW w:w="5743" w:type="dxa"/>
            <w:shd w:val="clear" w:color="auto" w:fill="auto"/>
            <w:vAlign w:val="center"/>
          </w:tcPr>
          <w:p w14:paraId="12FED1CC">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通过收集外呼任务的效果数据，按使用者关注的视角对收集到的数据进行归类汇总，通过多维统计图进行展示。主要统计图涉及：全年任务进度分析、业务场景分析、任务概况分析、用户意图分析、意向客户分析、任务效果对比。</w:t>
            </w:r>
          </w:p>
        </w:tc>
      </w:tr>
      <w:tr w14:paraId="22D1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6C363224">
            <w:pPr>
              <w:jc w:val="center"/>
              <w:rPr>
                <w:rFonts w:hint="eastAsia" w:ascii="宋体" w:hAnsi="宋体" w:eastAsia="宋体" w:cs="宋体"/>
                <w:color w:val="000000"/>
                <w:sz w:val="21"/>
                <w:szCs w:val="21"/>
              </w:rPr>
            </w:pPr>
          </w:p>
        </w:tc>
        <w:tc>
          <w:tcPr>
            <w:tcW w:w="1815" w:type="dxa"/>
            <w:shd w:val="clear" w:color="auto" w:fill="auto"/>
            <w:noWrap/>
            <w:vAlign w:val="center"/>
          </w:tcPr>
          <w:p w14:paraId="7794F118">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智能语音电话语音识别</w:t>
            </w:r>
          </w:p>
        </w:tc>
        <w:tc>
          <w:tcPr>
            <w:tcW w:w="5743" w:type="dxa"/>
            <w:shd w:val="clear" w:color="auto" w:fill="auto"/>
            <w:vAlign w:val="center"/>
          </w:tcPr>
          <w:p w14:paraId="13EB59CD">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外呼系统提供语音识别模块（ASR），提供将录音文件或者实时音频流转成文字的服务，能够在各种不同实际使用场景中做适配。</w:t>
            </w:r>
          </w:p>
        </w:tc>
      </w:tr>
      <w:tr w14:paraId="6EB0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292A7356">
            <w:pPr>
              <w:jc w:val="center"/>
              <w:rPr>
                <w:rFonts w:hint="eastAsia" w:ascii="宋体" w:hAnsi="宋体" w:eastAsia="宋体" w:cs="宋体"/>
                <w:color w:val="000000"/>
                <w:sz w:val="21"/>
                <w:szCs w:val="21"/>
              </w:rPr>
            </w:pPr>
          </w:p>
        </w:tc>
        <w:tc>
          <w:tcPr>
            <w:tcW w:w="1815" w:type="dxa"/>
            <w:shd w:val="clear" w:color="auto" w:fill="auto"/>
            <w:noWrap/>
            <w:vAlign w:val="center"/>
          </w:tcPr>
          <w:p w14:paraId="5CCB8165">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智能语音电话语音合成</w:t>
            </w:r>
          </w:p>
        </w:tc>
        <w:tc>
          <w:tcPr>
            <w:tcW w:w="5743" w:type="dxa"/>
            <w:shd w:val="clear" w:color="auto" w:fill="auto"/>
            <w:vAlign w:val="center"/>
          </w:tcPr>
          <w:p w14:paraId="6740F990">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提供语音合成模块（TTS），需支持多种风格音色模板，以便业务根据需要进行选择，满足各种不同的应用需求。语音合成处理准确、自然流畅，音色一致，无延迟及卡顿，支持音量、语速、音调、音色调整。支持输入多种字符集，普通文本等多种格式的文本信息。支持输出多种采用率的线性 WAV，MP3等格式的语音数据，语音合成及结果获取简易灵活。</w:t>
            </w:r>
          </w:p>
        </w:tc>
      </w:tr>
      <w:tr w14:paraId="675D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64D64BB1">
            <w:pPr>
              <w:jc w:val="center"/>
              <w:rPr>
                <w:rFonts w:hint="eastAsia" w:ascii="宋体" w:hAnsi="宋体" w:eastAsia="宋体" w:cs="宋体"/>
                <w:color w:val="000000"/>
                <w:sz w:val="21"/>
                <w:szCs w:val="21"/>
              </w:rPr>
            </w:pPr>
          </w:p>
        </w:tc>
        <w:tc>
          <w:tcPr>
            <w:tcW w:w="1815" w:type="dxa"/>
            <w:shd w:val="clear" w:color="auto" w:fill="auto"/>
            <w:noWrap/>
            <w:vAlign w:val="center"/>
          </w:tcPr>
          <w:p w14:paraId="51A26F7B">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智能语音电话识别准确率</w:t>
            </w:r>
          </w:p>
        </w:tc>
        <w:tc>
          <w:tcPr>
            <w:tcW w:w="5743" w:type="dxa"/>
            <w:shd w:val="clear" w:color="auto" w:fill="auto"/>
            <w:vAlign w:val="center"/>
          </w:tcPr>
          <w:p w14:paraId="41FCBCD5">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提供所投“智能客服ASR 引擎”的由国家信息中心软件测评中心的检测报告扫描件，上述检测报告能证明所投“智能客服ASR 引擎”满足以下参数要求：在＜60 分贝的</w:t>
            </w:r>
            <w:r>
              <w:rPr>
                <w:rFonts w:hint="eastAsia" w:ascii="宋体" w:hAnsi="宋体" w:cs="宋体"/>
                <w:color w:val="auto"/>
                <w:kern w:val="0"/>
                <w:sz w:val="21"/>
                <w:szCs w:val="21"/>
                <w:lang w:val="en-US" w:eastAsia="zh-CN" w:bidi="ar"/>
              </w:rPr>
              <w:t>噪声</w:t>
            </w:r>
            <w:r>
              <w:rPr>
                <w:rFonts w:hint="eastAsia" w:ascii="宋体" w:hAnsi="宋体" w:eastAsia="宋体" w:cs="宋体"/>
                <w:color w:val="auto"/>
                <w:kern w:val="0"/>
                <w:sz w:val="21"/>
                <w:szCs w:val="21"/>
                <w:lang w:val="en-US" w:eastAsia="zh-CN" w:bidi="ar"/>
              </w:rPr>
              <w:t>环境中，普通话语音转文字准确率（或中文语音识别率）≥98%； NLU 自然语句识别正确率≥95%</w:t>
            </w:r>
            <w:r>
              <w:rPr>
                <w:rFonts w:hint="eastAsia" w:ascii="宋体" w:hAnsi="宋体" w:cs="宋体"/>
                <w:color w:val="auto"/>
                <w:kern w:val="0"/>
                <w:sz w:val="21"/>
                <w:szCs w:val="21"/>
                <w:lang w:val="en-US" w:eastAsia="zh-CN" w:bidi="ar"/>
              </w:rPr>
              <w:t>。</w:t>
            </w:r>
          </w:p>
        </w:tc>
      </w:tr>
      <w:tr w14:paraId="5EA1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701F4651">
            <w:pPr>
              <w:jc w:val="center"/>
              <w:rPr>
                <w:rFonts w:hint="eastAsia" w:ascii="宋体" w:hAnsi="宋体" w:eastAsia="宋体" w:cs="宋体"/>
                <w:color w:val="000000"/>
                <w:sz w:val="21"/>
                <w:szCs w:val="21"/>
              </w:rPr>
            </w:pPr>
          </w:p>
        </w:tc>
        <w:tc>
          <w:tcPr>
            <w:tcW w:w="1815" w:type="dxa"/>
            <w:shd w:val="clear" w:color="auto" w:fill="auto"/>
            <w:noWrap/>
            <w:vAlign w:val="center"/>
          </w:tcPr>
          <w:p w14:paraId="1C771DDF">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智能语音电话意图理解</w:t>
            </w:r>
          </w:p>
        </w:tc>
        <w:tc>
          <w:tcPr>
            <w:tcW w:w="5743" w:type="dxa"/>
            <w:shd w:val="clear" w:color="auto" w:fill="auto"/>
            <w:vAlign w:val="center"/>
          </w:tcPr>
          <w:p w14:paraId="6A1BC21C">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根据业务逻辑确定客户意图，根据单句和多轮的输入评断客户的即时意图，根据意图判断后续返回标准答案、进入多轮场景或返回技能、闲聊等内容等。</w:t>
            </w:r>
          </w:p>
        </w:tc>
      </w:tr>
      <w:tr w14:paraId="1908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5DCF0BEB">
            <w:pPr>
              <w:jc w:val="center"/>
              <w:rPr>
                <w:rFonts w:hint="eastAsia" w:ascii="宋体" w:hAnsi="宋体" w:eastAsia="宋体" w:cs="宋体"/>
                <w:color w:val="000000"/>
                <w:sz w:val="21"/>
                <w:szCs w:val="21"/>
              </w:rPr>
            </w:pPr>
          </w:p>
        </w:tc>
        <w:tc>
          <w:tcPr>
            <w:tcW w:w="1815" w:type="dxa"/>
            <w:shd w:val="clear" w:color="auto" w:fill="auto"/>
            <w:noWrap/>
            <w:vAlign w:val="center"/>
          </w:tcPr>
          <w:p w14:paraId="153716A1">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支持多途径发送短信</w:t>
            </w:r>
          </w:p>
        </w:tc>
        <w:tc>
          <w:tcPr>
            <w:tcW w:w="5743" w:type="dxa"/>
            <w:shd w:val="clear" w:color="auto" w:fill="auto"/>
            <w:vAlign w:val="center"/>
          </w:tcPr>
          <w:p w14:paraId="65BCC19F">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平台支持多种途径发送短信，包括外部导入名单、调用接口直接拨打电话及发送短信，实现外呼+短信相结合、批量选择居民发送短信等方式，满足不同场景下的用户需求，提高</w:t>
            </w:r>
            <w:r>
              <w:rPr>
                <w:rFonts w:hint="eastAsia" w:ascii="宋体" w:hAnsi="宋体" w:cs="宋体"/>
                <w:color w:val="auto"/>
                <w:kern w:val="0"/>
                <w:sz w:val="21"/>
                <w:szCs w:val="21"/>
                <w:lang w:val="en-US" w:eastAsia="zh-CN" w:bidi="ar"/>
              </w:rPr>
              <w:t>调查</w:t>
            </w:r>
            <w:r>
              <w:rPr>
                <w:rFonts w:hint="eastAsia" w:ascii="宋体" w:hAnsi="宋体" w:eastAsia="宋体" w:cs="宋体"/>
                <w:color w:val="auto"/>
                <w:kern w:val="0"/>
                <w:sz w:val="21"/>
                <w:szCs w:val="21"/>
                <w:lang w:val="en-US" w:eastAsia="zh-CN" w:bidi="ar"/>
              </w:rPr>
              <w:t>效率。</w:t>
            </w:r>
          </w:p>
        </w:tc>
      </w:tr>
      <w:tr w14:paraId="0B3D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trPr>
        <w:tc>
          <w:tcPr>
            <w:tcW w:w="1409" w:type="dxa"/>
            <w:vMerge w:val="continue"/>
            <w:shd w:val="clear" w:color="auto" w:fill="auto"/>
            <w:noWrap/>
            <w:vAlign w:val="center"/>
          </w:tcPr>
          <w:p w14:paraId="3226C352">
            <w:pPr>
              <w:jc w:val="center"/>
              <w:rPr>
                <w:rFonts w:hint="eastAsia" w:ascii="宋体" w:hAnsi="宋体" w:eastAsia="宋体" w:cs="宋体"/>
                <w:color w:val="000000"/>
                <w:sz w:val="21"/>
                <w:szCs w:val="21"/>
              </w:rPr>
            </w:pPr>
          </w:p>
        </w:tc>
        <w:tc>
          <w:tcPr>
            <w:tcW w:w="1815" w:type="dxa"/>
            <w:shd w:val="clear" w:color="auto" w:fill="auto"/>
            <w:noWrap/>
            <w:vAlign w:val="center"/>
          </w:tcPr>
          <w:p w14:paraId="1AE47B49">
            <w:pPr>
              <w:keepNext w:val="0"/>
              <w:keepLines w:val="0"/>
              <w:widowControl/>
              <w:suppressLineNumbers w:val="0"/>
              <w:wordWrap/>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智能质控配置</w:t>
            </w:r>
          </w:p>
        </w:tc>
        <w:tc>
          <w:tcPr>
            <w:tcW w:w="5743" w:type="dxa"/>
            <w:shd w:val="clear" w:color="auto" w:fill="auto"/>
            <w:vAlign w:val="center"/>
          </w:tcPr>
          <w:p w14:paraId="22E57E06">
            <w:pPr>
              <w:keepNext w:val="0"/>
              <w:keepLines w:val="0"/>
              <w:widowControl/>
              <w:suppressLineNumbers w:val="0"/>
              <w:wordWrap/>
              <w:spacing w:line="240" w:lineRule="auto"/>
              <w:jc w:val="left"/>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支持按标签创建质检任务，即外呼完成后，根据不同的业务需求设置不同的业务标签来创建需要复核的数据任务。</w:t>
            </w:r>
          </w:p>
        </w:tc>
      </w:tr>
      <w:tr w14:paraId="312D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8" w:hRule="atLeast"/>
        </w:trPr>
        <w:tc>
          <w:tcPr>
            <w:tcW w:w="1409" w:type="dxa"/>
            <w:vMerge w:val="restart"/>
            <w:shd w:val="clear" w:color="auto" w:fill="auto"/>
            <w:noWrap/>
            <w:vAlign w:val="center"/>
          </w:tcPr>
          <w:p w14:paraId="4F8AD77C">
            <w:pPr>
              <w:keepNext w:val="0"/>
              <w:keepLines w:val="0"/>
              <w:widowControl/>
              <w:suppressLineNumbers w:val="0"/>
              <w:wordWrap/>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数据分析</w:t>
            </w:r>
          </w:p>
          <w:p w14:paraId="076C536D">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中心</w:t>
            </w:r>
          </w:p>
        </w:tc>
        <w:tc>
          <w:tcPr>
            <w:tcW w:w="1815" w:type="dxa"/>
            <w:shd w:val="clear" w:color="auto" w:fill="auto"/>
            <w:noWrap/>
            <w:vAlign w:val="center"/>
          </w:tcPr>
          <w:p w14:paraId="005836B1">
            <w:pPr>
              <w:keepNext w:val="0"/>
              <w:keepLines w:val="0"/>
              <w:widowControl/>
              <w:suppressLineNumbers w:val="0"/>
              <w:wordWrap/>
              <w:spacing w:line="24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支持外部数据</w:t>
            </w:r>
          </w:p>
          <w:p w14:paraId="629D558C">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导入</w:t>
            </w:r>
          </w:p>
        </w:tc>
        <w:tc>
          <w:tcPr>
            <w:tcW w:w="5743" w:type="dxa"/>
            <w:shd w:val="clear" w:color="auto" w:fill="auto"/>
            <w:vAlign w:val="center"/>
          </w:tcPr>
          <w:p w14:paraId="48BDB5FC">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平台允许将外部数据详情按照模板格式进行导入，实现数据的集中管理和综合分析。</w:t>
            </w:r>
          </w:p>
        </w:tc>
      </w:tr>
      <w:tr w14:paraId="61B7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4" w:hRule="atLeast"/>
        </w:trPr>
        <w:tc>
          <w:tcPr>
            <w:tcW w:w="1409" w:type="dxa"/>
            <w:vMerge w:val="continue"/>
            <w:shd w:val="clear" w:color="auto" w:fill="auto"/>
            <w:noWrap/>
            <w:vAlign w:val="center"/>
          </w:tcPr>
          <w:p w14:paraId="6C29B7BB">
            <w:pPr>
              <w:jc w:val="center"/>
              <w:rPr>
                <w:rFonts w:hint="eastAsia" w:ascii="宋体" w:hAnsi="宋体" w:eastAsia="宋体" w:cs="宋体"/>
                <w:color w:val="000000"/>
                <w:sz w:val="21"/>
                <w:szCs w:val="21"/>
              </w:rPr>
            </w:pPr>
          </w:p>
        </w:tc>
        <w:tc>
          <w:tcPr>
            <w:tcW w:w="1815" w:type="dxa"/>
            <w:shd w:val="clear" w:color="auto" w:fill="auto"/>
            <w:noWrap/>
            <w:vAlign w:val="center"/>
          </w:tcPr>
          <w:p w14:paraId="055EF542">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支持基础数据统计</w:t>
            </w:r>
          </w:p>
        </w:tc>
        <w:tc>
          <w:tcPr>
            <w:tcW w:w="5743" w:type="dxa"/>
            <w:shd w:val="clear" w:color="auto" w:fill="auto"/>
            <w:vAlign w:val="center"/>
          </w:tcPr>
          <w:p w14:paraId="502734A8">
            <w:pPr>
              <w:keepNext w:val="0"/>
              <w:keepLines w:val="0"/>
              <w:widowControl/>
              <w:suppressLineNumbers w:val="0"/>
              <w:wordWrap/>
              <w:spacing w:line="240" w:lineRule="auto"/>
              <w:jc w:val="left"/>
              <w:textAlignment w:val="center"/>
              <w:rPr>
                <w:rFonts w:hint="default"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平台能够对调查数据进行统计分析，包括调查的基础数据、业务数据等，数据通过各类形式进行展示，如指标统计卡片展示、图形展示、表格展示等，便于用户多角度多维度进行数据的统计及分析</w:t>
            </w:r>
            <w:r>
              <w:rPr>
                <w:rFonts w:hint="eastAsia" w:ascii="宋体" w:hAnsi="宋体" w:cs="宋体"/>
                <w:color w:val="auto"/>
                <w:kern w:val="0"/>
                <w:sz w:val="21"/>
                <w:szCs w:val="21"/>
                <w:lang w:val="en-US" w:eastAsia="zh-CN" w:bidi="ar"/>
              </w:rPr>
              <w:t>。</w:t>
            </w:r>
          </w:p>
        </w:tc>
      </w:tr>
      <w:tr w14:paraId="3413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4" w:hRule="atLeast"/>
        </w:trPr>
        <w:tc>
          <w:tcPr>
            <w:tcW w:w="1409" w:type="dxa"/>
            <w:vMerge w:val="restart"/>
            <w:shd w:val="clear" w:color="auto" w:fill="auto"/>
            <w:noWrap/>
            <w:vAlign w:val="center"/>
          </w:tcPr>
          <w:p w14:paraId="3E07875A">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系统配置</w:t>
            </w:r>
          </w:p>
        </w:tc>
        <w:tc>
          <w:tcPr>
            <w:tcW w:w="1815" w:type="dxa"/>
            <w:shd w:val="clear" w:color="auto" w:fill="auto"/>
            <w:noWrap/>
            <w:vAlign w:val="center"/>
          </w:tcPr>
          <w:p w14:paraId="77EC9DD0">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角色权限分配</w:t>
            </w:r>
          </w:p>
        </w:tc>
        <w:tc>
          <w:tcPr>
            <w:tcW w:w="5743" w:type="dxa"/>
            <w:shd w:val="clear" w:color="auto" w:fill="auto"/>
            <w:vAlign w:val="center"/>
          </w:tcPr>
          <w:p w14:paraId="73EDF19A">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支持维护系统内各用户的权限，包括用户账号、用户角色、科室管理、随访主题管理、权限管理。实现系统内数据查看权限的划分、功能菜单使用的权限划分</w:t>
            </w:r>
            <w:r>
              <w:rPr>
                <w:rFonts w:hint="eastAsia" w:ascii="宋体" w:hAnsi="宋体" w:cs="宋体"/>
                <w:color w:val="auto"/>
                <w:kern w:val="0"/>
                <w:sz w:val="21"/>
                <w:szCs w:val="21"/>
                <w:lang w:val="en-US" w:eastAsia="zh-CN" w:bidi="ar"/>
              </w:rPr>
              <w:t>。</w:t>
            </w:r>
          </w:p>
        </w:tc>
      </w:tr>
      <w:tr w14:paraId="0EC9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26" w:hRule="atLeast"/>
        </w:trPr>
        <w:tc>
          <w:tcPr>
            <w:tcW w:w="1409" w:type="dxa"/>
            <w:vMerge w:val="continue"/>
            <w:shd w:val="clear" w:color="auto" w:fill="auto"/>
            <w:noWrap/>
            <w:vAlign w:val="center"/>
          </w:tcPr>
          <w:p w14:paraId="22D63A0A">
            <w:pPr>
              <w:jc w:val="center"/>
              <w:rPr>
                <w:rFonts w:hint="eastAsia" w:ascii="宋体" w:hAnsi="宋体" w:eastAsia="宋体" w:cs="宋体"/>
                <w:color w:val="000000"/>
                <w:sz w:val="21"/>
                <w:szCs w:val="21"/>
              </w:rPr>
            </w:pPr>
          </w:p>
        </w:tc>
        <w:tc>
          <w:tcPr>
            <w:tcW w:w="1815" w:type="dxa"/>
            <w:shd w:val="clear" w:color="auto" w:fill="auto"/>
            <w:noWrap/>
            <w:vAlign w:val="center"/>
          </w:tcPr>
          <w:p w14:paraId="32AACD42">
            <w:pPr>
              <w:keepNext w:val="0"/>
              <w:keepLines w:val="0"/>
              <w:widowControl/>
              <w:suppressLineNumbers w:val="0"/>
              <w:wordWrap/>
              <w:spacing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数据脱敏</w:t>
            </w:r>
          </w:p>
        </w:tc>
        <w:tc>
          <w:tcPr>
            <w:tcW w:w="5743" w:type="dxa"/>
            <w:shd w:val="clear" w:color="auto" w:fill="auto"/>
            <w:vAlign w:val="center"/>
          </w:tcPr>
          <w:p w14:paraId="6CB8547D">
            <w:pPr>
              <w:keepNext w:val="0"/>
              <w:keepLines w:val="0"/>
              <w:widowControl/>
              <w:suppressLineNumbers w:val="0"/>
              <w:wordWrap/>
              <w:spacing w:line="24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支持对系统中的不同角色、子账号进行数据脱敏，如隐藏被访者电话号码、个人姓名、所管辖区域等字段，分权限控制查看，最大可能保护被访者隐私信息。</w:t>
            </w:r>
          </w:p>
        </w:tc>
      </w:tr>
      <w:bookmarkEnd w:id="0"/>
    </w:tbl>
    <w:p w14:paraId="7E77C1CD">
      <w:pPr>
        <w:keepNext w:val="0"/>
        <w:keepLines w:val="0"/>
        <w:pageBreakBefore w:val="0"/>
        <w:wordWrap/>
        <w:topLinePunct w:val="0"/>
        <w:bidi w:val="0"/>
        <w:spacing w:after="0"/>
        <w:rPr>
          <w:rFonts w:hint="eastAsia"/>
          <w:lang w:val="en-US" w:eastAsia="zh-CN"/>
        </w:rPr>
      </w:pPr>
      <w:r>
        <w:rPr>
          <w:rFonts w:hint="eastAsia"/>
          <w:lang w:val="en-US" w:eastAsia="zh-CN"/>
        </w:rPr>
        <w:t>备注：若国家或省更新调整了技术参数，本项目在实施时，需对技术参数做相应调整。</w:t>
      </w:r>
    </w:p>
    <w:p w14:paraId="0A158B0D">
      <w:pPr>
        <w:rPr>
          <w:rFonts w:hint="default"/>
          <w:lang w:val="en-US" w:eastAsia="zh-CN"/>
        </w:rPr>
      </w:pPr>
    </w:p>
    <w:p w14:paraId="21F1C648">
      <w:pPr>
        <w:pStyle w:val="4"/>
        <w:rPr>
          <w:rFonts w:hint="default"/>
          <w:lang w:val="en-US" w:eastAsia="zh-CN"/>
        </w:rPr>
      </w:pPr>
    </w:p>
    <w:p w14:paraId="56AAFF37">
      <w:pPr>
        <w:rPr>
          <w:rFonts w:hint="default"/>
          <w:lang w:val="en-US" w:eastAsia="zh-CN"/>
        </w:rPr>
      </w:pPr>
    </w:p>
    <w:p w14:paraId="7334B7D8"/>
    <w:sectPr>
      <w:footerReference r:id="rId5" w:type="default"/>
      <w:pgSz w:w="11906" w:h="16838"/>
      <w:pgMar w:top="2041" w:right="1531" w:bottom="2041"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08DC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7CB5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67CB5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E2175"/>
    <w:rsid w:val="023C1F25"/>
    <w:rsid w:val="0E676D31"/>
    <w:rsid w:val="0E7772CD"/>
    <w:rsid w:val="108B39B5"/>
    <w:rsid w:val="11152AD3"/>
    <w:rsid w:val="125205A9"/>
    <w:rsid w:val="12B25C29"/>
    <w:rsid w:val="13632EEB"/>
    <w:rsid w:val="1FD17977"/>
    <w:rsid w:val="206B2A19"/>
    <w:rsid w:val="22671B8E"/>
    <w:rsid w:val="24680031"/>
    <w:rsid w:val="25D06CD1"/>
    <w:rsid w:val="260E3549"/>
    <w:rsid w:val="2A222D2A"/>
    <w:rsid w:val="2D424634"/>
    <w:rsid w:val="2D4C4AC5"/>
    <w:rsid w:val="2ED86F8A"/>
    <w:rsid w:val="2F5D4ACE"/>
    <w:rsid w:val="30D817A3"/>
    <w:rsid w:val="324156A1"/>
    <w:rsid w:val="34E310CD"/>
    <w:rsid w:val="38B139C9"/>
    <w:rsid w:val="38E80100"/>
    <w:rsid w:val="3AAC6D58"/>
    <w:rsid w:val="3BF85A90"/>
    <w:rsid w:val="3D0C997C"/>
    <w:rsid w:val="3F535259"/>
    <w:rsid w:val="3FBFE965"/>
    <w:rsid w:val="413B2328"/>
    <w:rsid w:val="4AC155F1"/>
    <w:rsid w:val="4B6C340C"/>
    <w:rsid w:val="507654D1"/>
    <w:rsid w:val="54496296"/>
    <w:rsid w:val="55F0546C"/>
    <w:rsid w:val="573E16B1"/>
    <w:rsid w:val="59777174"/>
    <w:rsid w:val="5A8F5056"/>
    <w:rsid w:val="5DFF214D"/>
    <w:rsid w:val="5E323725"/>
    <w:rsid w:val="5FF68CDA"/>
    <w:rsid w:val="60BE40C4"/>
    <w:rsid w:val="61A565D2"/>
    <w:rsid w:val="62155647"/>
    <w:rsid w:val="6486265D"/>
    <w:rsid w:val="66386F2C"/>
    <w:rsid w:val="679F9F25"/>
    <w:rsid w:val="6D481041"/>
    <w:rsid w:val="6DCEBB19"/>
    <w:rsid w:val="745E2175"/>
    <w:rsid w:val="752D36AD"/>
    <w:rsid w:val="76FD2BA2"/>
    <w:rsid w:val="7BDE7CF1"/>
    <w:rsid w:val="7BEADA21"/>
    <w:rsid w:val="7BEB3B32"/>
    <w:rsid w:val="7E276078"/>
    <w:rsid w:val="7FBD5F72"/>
    <w:rsid w:val="B7F9880B"/>
    <w:rsid w:val="BE5D4908"/>
    <w:rsid w:val="C7FFA707"/>
    <w:rsid w:val="E8FF792C"/>
    <w:rsid w:val="FA7F1E57"/>
    <w:rsid w:val="FA7F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next w:val="4"/>
    <w:unhideWhenUsed/>
    <w:qFormat/>
    <w:uiPriority w:val="99"/>
    <w:pPr>
      <w:ind w:firstLine="420" w:firstLineChars="200"/>
    </w:pPr>
  </w:style>
  <w:style w:type="paragraph" w:styleId="4">
    <w:name w:val="Body Text"/>
    <w:basedOn w:val="1"/>
    <w:next w:val="1"/>
    <w:qFormat/>
    <w:uiPriority w:val="0"/>
    <w:pPr>
      <w:widowControl w:val="0"/>
      <w:spacing w:after="160" w:line="320" w:lineRule="exact"/>
      <w:jc w:val="center"/>
    </w:pPr>
    <w:rPr>
      <w:rFonts w:hint="eastAsia" w:ascii="Times New Roman" w:hAnsi="Times New Roman" w:eastAsia="宋体" w:cs="Times New Roman"/>
      <w:kern w:val="2"/>
      <w:sz w:val="32"/>
      <w:szCs w:val="24"/>
      <w:lang w:val="en-US" w:eastAsia="zh-CN" w:bidi="ar-SA"/>
    </w:rPr>
  </w:style>
  <w:style w:type="paragraph" w:styleId="5">
    <w:name w:val="Plain Text"/>
    <w:basedOn w:val="1"/>
    <w:qFormat/>
    <w:uiPriority w:val="0"/>
    <w:rPr>
      <w:rFonts w:hAnsi="Courier New"/>
      <w:szCs w:val="20"/>
    </w:rPr>
  </w:style>
  <w:style w:type="paragraph" w:styleId="6">
    <w:name w:val="footer"/>
    <w:basedOn w:val="1"/>
    <w:qFormat/>
    <w:uiPriority w:val="0"/>
    <w:pPr>
      <w:tabs>
        <w:tab w:val="center" w:pos="4153"/>
        <w:tab w:val="right" w:pos="8306"/>
      </w:tabs>
      <w:snapToGrid w:val="0"/>
      <w:spacing w:after="0" w:line="560" w:lineRule="exact"/>
      <w:jc w:val="left"/>
    </w:pPr>
    <w:rPr>
      <w:rFonts w:ascii="Calibri" w:hAnsi="Calibri" w:eastAsia="宋体" w:cs="Times New Roman"/>
      <w:sz w:val="18"/>
      <w:szCs w:val="22"/>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9">
    <w:name w:val="Title"/>
    <w:basedOn w:val="1"/>
    <w:next w:val="1"/>
    <w:qFormat/>
    <w:uiPriority w:val="0"/>
    <w:pPr>
      <w:widowControl w:val="0"/>
      <w:spacing w:before="240" w:after="60" w:line="278" w:lineRule="auto"/>
      <w:jc w:val="center"/>
      <w:outlineLvl w:val="0"/>
    </w:pPr>
    <w:rPr>
      <w:rFonts w:ascii="Cambria" w:hAnsi="Cambria" w:eastAsia="宋体" w:cs="Times New Roman"/>
      <w:b/>
      <w:bCs/>
      <w:kern w:val="2"/>
      <w:sz w:val="32"/>
      <w:szCs w:val="32"/>
      <w:lang w:val="en-US" w:eastAsia="zh-CN" w:bidi="ar-SA"/>
    </w:rPr>
  </w:style>
  <w:style w:type="paragraph" w:customStyle="1" w:styleId="12">
    <w:name w:val="正文缩进2格"/>
    <w:basedOn w:val="1"/>
    <w:next w:val="1"/>
    <w:qFormat/>
    <w:uiPriority w:val="0"/>
    <w:pPr>
      <w:spacing w:line="600" w:lineRule="exact"/>
      <w:ind w:firstLine="639" w:firstLineChars="206"/>
    </w:pPr>
    <w:rPr>
      <w:rFonts w:ascii="仿宋_GB2312" w:hAnsi="宋体" w:eastAsia="仿宋_GB2312"/>
      <w:sz w:val="31"/>
      <w:szCs w:val="2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3569</Words>
  <Characters>3621</Characters>
  <Lines>0</Lines>
  <Paragraphs>0</Paragraphs>
  <TotalTime>1</TotalTime>
  <ScaleCrop>false</ScaleCrop>
  <LinksUpToDate>false</LinksUpToDate>
  <CharactersWithSpaces>3630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2025-01-13T17:16:00Z</dcterms:created>
  <dc:creator>Administrator</dc:creator>
  <cp:lastModifiedBy>赞</cp:lastModifiedBy>
  <cp:lastPrinted>2025-08-07T18:44:00Z</cp:lastPrinted>
  <dcterms:modified xsi:type="dcterms:W3CDTF">2026-09-23T02:26:44Z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4AF5B1780BA343318798CFF6AC101E06_13</vt:lpwstr>
  </property>
  <property fmtid="{D5CDD505-2E9C-101B-9397-08002B2CF9AE}" pid="4" name="KSOTemplateDocerSaveRecord">
    <vt:lpwstr>eyJoZGlkIjoiMmYwZGU1MTMzYTg4MzhkYTVlOWEwMWIxMjgyMGI4NGYiLCJ1c2VySWQiOiI2MzI3OTU4NjAifQ==</vt:lpwstr>
  </property>
</Properties>
</file>