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lang w:eastAsia="zh-CN"/>
        </w:rPr>
        <w:t>附件</w:t>
      </w:r>
    </w:p>
    <w:p>
      <w:pPr>
        <w:spacing w:line="580" w:lineRule="exact"/>
        <w:jc w:val="center"/>
        <w:rPr>
          <w:rFonts w:ascii="Times New Roman" w:hAnsi="Times New Roman" w:eastAsia="方正大标宋_GBK" w:cs="Times New Roman"/>
          <w:sz w:val="42"/>
          <w:szCs w:val="42"/>
        </w:rPr>
      </w:pPr>
      <w:r>
        <w:rPr>
          <w:rFonts w:ascii="Times New Roman" w:hAnsi="Times New Roman" w:eastAsia="方正大标宋_GBK" w:cs="Times New Roman"/>
          <w:sz w:val="42"/>
          <w:szCs w:val="42"/>
        </w:rPr>
        <w:t>2027年度江门市医养结合补充保险</w:t>
      </w:r>
    </w:p>
    <w:p>
      <w:pPr>
        <w:spacing w:line="580" w:lineRule="exact"/>
        <w:jc w:val="center"/>
        <w:rPr>
          <w:rFonts w:ascii="Times New Roman" w:hAnsi="Times New Roman" w:eastAsia="方正大标宋_GBK" w:cs="Times New Roman"/>
          <w:sz w:val="42"/>
          <w:szCs w:val="42"/>
        </w:rPr>
      </w:pPr>
      <w:r>
        <w:rPr>
          <w:rFonts w:ascii="Times New Roman" w:hAnsi="Times New Roman" w:eastAsia="方正大标宋_GBK" w:cs="Times New Roman"/>
          <w:sz w:val="42"/>
          <w:szCs w:val="42"/>
        </w:rPr>
        <w:t>“邑康保”参保指南</w:t>
      </w:r>
    </w:p>
    <w:p>
      <w:pPr>
        <w:adjustRightInd w:val="0"/>
        <w:snapToGrid w:val="0"/>
        <w:spacing w:line="580" w:lineRule="exact"/>
        <w:ind w:firstLine="600" w:firstLineChars="200"/>
        <w:rPr>
          <w:rFonts w:ascii="Times New Roman" w:hAnsi="Times New Roman" w:eastAsia="方正仿宋_GBK" w:cs="Times New Roman"/>
          <w:sz w:val="30"/>
          <w:szCs w:val="30"/>
        </w:rPr>
      </w:pP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为进一步健全江门市多层次医疗保障体系，提升本市医疗保障水平，切实减轻患重大疾病参保人医疗费用负担，按照“政府指导、商业运作、自愿参保、保本微利、自负盈亏”原则，2027年度“邑康保”项目进行了优化调整。现将2027年度“邑康保”有关参保工作公告如下：</w:t>
      </w:r>
    </w:p>
    <w:p>
      <w:pPr>
        <w:adjustRightInd w:val="0"/>
        <w:snapToGrid w:val="0"/>
        <w:spacing w:line="580" w:lineRule="exact"/>
        <w:ind w:firstLine="600" w:firstLineChars="200"/>
        <w:rPr>
          <w:rFonts w:ascii="Times New Roman" w:hAnsi="Times New Roman" w:eastAsia="方正黑体_GBK" w:cs="Times New Roman"/>
          <w:bCs/>
          <w:sz w:val="30"/>
          <w:szCs w:val="30"/>
        </w:rPr>
      </w:pPr>
      <w:r>
        <w:rPr>
          <w:rFonts w:ascii="Times New Roman" w:hAnsi="Times New Roman" w:eastAsia="方正黑体_GBK" w:cs="Times New Roman"/>
          <w:bCs/>
          <w:sz w:val="30"/>
          <w:szCs w:val="30"/>
        </w:rPr>
        <w:t>一、保费标准及赔付责任</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2027年保费标准为150元/人/年。</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参保人参保后可享受的待遇详见《“邑康保”待遇简表（2027版）》（详见附件1）和《“邑康保”健康管理的增值服务》（详见附件2）。</w:t>
      </w:r>
    </w:p>
    <w:p>
      <w:pPr>
        <w:adjustRightInd w:val="0"/>
        <w:snapToGrid w:val="0"/>
        <w:spacing w:line="580" w:lineRule="exact"/>
        <w:ind w:firstLine="600" w:firstLineChars="200"/>
        <w:rPr>
          <w:rFonts w:ascii="Times New Roman" w:hAnsi="Times New Roman" w:eastAsia="方正黑体_GBK" w:cs="Times New Roman"/>
          <w:bCs/>
          <w:sz w:val="30"/>
          <w:szCs w:val="30"/>
        </w:rPr>
      </w:pPr>
      <w:r>
        <w:rPr>
          <w:rFonts w:ascii="Times New Roman" w:hAnsi="Times New Roman" w:eastAsia="方正黑体_GBK" w:cs="Times New Roman"/>
          <w:bCs/>
          <w:sz w:val="30"/>
          <w:szCs w:val="30"/>
        </w:rPr>
        <w:t>二、参保时间及保险期限</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参保时间：2026年10月13日至2026年12月31日。</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保险期限：2027年1月1日至2027年12月31日。</w:t>
      </w:r>
    </w:p>
    <w:p>
      <w:pPr>
        <w:adjustRightInd w:val="0"/>
        <w:snapToGrid w:val="0"/>
        <w:spacing w:line="580" w:lineRule="exact"/>
        <w:ind w:firstLine="600" w:firstLineChars="200"/>
        <w:rPr>
          <w:rFonts w:ascii="Times New Roman" w:hAnsi="Times New Roman" w:eastAsia="方正黑体_GBK" w:cs="Times New Roman"/>
          <w:bCs/>
          <w:sz w:val="30"/>
          <w:szCs w:val="30"/>
        </w:rPr>
      </w:pPr>
      <w:r>
        <w:rPr>
          <w:rFonts w:ascii="Times New Roman" w:hAnsi="Times New Roman" w:eastAsia="方正黑体_GBK" w:cs="Times New Roman"/>
          <w:bCs/>
          <w:sz w:val="30"/>
          <w:szCs w:val="30"/>
        </w:rPr>
        <w:t>三、参保人员范围及参保方式</w:t>
      </w:r>
    </w:p>
    <w:p>
      <w:pPr>
        <w:adjustRightInd w:val="0"/>
        <w:snapToGrid w:val="0"/>
        <w:spacing w:line="580" w:lineRule="exact"/>
        <w:ind w:firstLine="600" w:firstLineChars="200"/>
        <w:rPr>
          <w:rFonts w:ascii="Times New Roman" w:hAnsi="Times New Roman" w:eastAsia="方正楷体_GBK" w:cs="Times New Roman"/>
          <w:sz w:val="30"/>
          <w:szCs w:val="30"/>
        </w:rPr>
      </w:pPr>
      <w:r>
        <w:rPr>
          <w:rFonts w:ascii="Times New Roman" w:hAnsi="Times New Roman" w:eastAsia="方正楷体_GBK" w:cs="Times New Roman"/>
          <w:sz w:val="30"/>
          <w:szCs w:val="30"/>
        </w:rPr>
        <w:t>（一）参保人员范围</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符合下列条件之一的人员，按照自愿原则，可以参保“邑康保”项目，成为参保对象（不限投保年龄、不限既往症）：</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1.江门市职工医保和居民医保参保人员；</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2.参加江门市以外异地基本医疗保险，且拥有江门市户籍的人员；</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3.参加江门市以外异地基本医疗保险，持有有效期内江门市居住证且截至2026年12月31日居住登记时间连续三年及以上人员；</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4.在保险年度内，符合中途参加江门市居民医保条件，且参加了江门市居民医保的特定人群。</w:t>
      </w:r>
    </w:p>
    <w:p>
      <w:pPr>
        <w:adjustRightInd w:val="0"/>
        <w:snapToGrid w:val="0"/>
        <w:spacing w:line="580" w:lineRule="exact"/>
        <w:ind w:firstLine="600" w:firstLineChars="200"/>
        <w:rPr>
          <w:rFonts w:ascii="Times New Roman" w:hAnsi="Times New Roman" w:eastAsia="方正楷体_GBK" w:cs="Times New Roman"/>
          <w:sz w:val="30"/>
          <w:szCs w:val="30"/>
        </w:rPr>
      </w:pPr>
      <w:r>
        <w:rPr>
          <w:rFonts w:ascii="Times New Roman" w:hAnsi="Times New Roman" w:eastAsia="方正楷体_GBK" w:cs="Times New Roman"/>
          <w:sz w:val="30"/>
          <w:szCs w:val="30"/>
        </w:rPr>
        <w:t>（二）参保办理渠道</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参保人可通过以下方式办理参保（“邑康保”LOGO及公众号二维码详见附件3）:</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（1）微信搜索“邑康保”公众号，点击底部参保入口即可参保；</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w:t>
      </w:r>
      <w:r>
        <w:rPr>
          <w:rFonts w:hint="eastAsia" w:ascii="Times New Roman" w:hAnsi="Times New Roman" w:eastAsia="方正仿宋_GBK" w:cs="Times New Roman"/>
          <w:sz w:val="30"/>
          <w:szCs w:val="30"/>
        </w:rPr>
        <w:t>2</w:t>
      </w:r>
      <w:r>
        <w:rPr>
          <w:rFonts w:ascii="Times New Roman" w:hAnsi="Times New Roman" w:eastAsia="方正仿宋_GBK" w:cs="Times New Roman"/>
          <w:sz w:val="30"/>
          <w:szCs w:val="30"/>
        </w:rPr>
        <w:t>）通过“江门邑网通”APP进行参保；</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w:t>
      </w:r>
      <w:r>
        <w:rPr>
          <w:rFonts w:hint="eastAsia" w:ascii="Times New Roman" w:hAnsi="Times New Roman" w:eastAsia="方正仿宋_GBK" w:cs="Times New Roman"/>
          <w:sz w:val="30"/>
          <w:szCs w:val="30"/>
        </w:rPr>
        <w:t>3</w:t>
      </w:r>
      <w:r>
        <w:rPr>
          <w:rFonts w:ascii="Times New Roman" w:hAnsi="Times New Roman" w:eastAsia="方正仿宋_GBK" w:cs="Times New Roman"/>
          <w:sz w:val="30"/>
          <w:szCs w:val="30"/>
        </w:rPr>
        <w:t>）通过扫描共保体承保公司保险代理人的海报二维码进行参保；</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w:t>
      </w:r>
      <w:r>
        <w:rPr>
          <w:rFonts w:hint="eastAsia" w:ascii="Times New Roman" w:hAnsi="Times New Roman" w:eastAsia="方正仿宋_GBK" w:cs="Times New Roman"/>
          <w:sz w:val="30"/>
          <w:szCs w:val="30"/>
        </w:rPr>
        <w:t>4</w:t>
      </w:r>
      <w:r>
        <w:rPr>
          <w:rFonts w:ascii="Times New Roman" w:hAnsi="Times New Roman" w:eastAsia="方正仿宋_GBK" w:cs="Times New Roman"/>
          <w:sz w:val="30"/>
          <w:szCs w:val="30"/>
        </w:rPr>
        <w:t>）通过江门市公共区域内公交车、候车亭、楼宇、海报、三折页等渠道中“邑康保”媒体宣传广告中的二维码进行参保。</w:t>
      </w:r>
    </w:p>
    <w:p>
      <w:pPr>
        <w:adjustRightInd w:val="0"/>
        <w:snapToGrid w:val="0"/>
        <w:spacing w:line="580" w:lineRule="exact"/>
        <w:ind w:firstLine="600" w:firstLineChars="200"/>
        <w:rPr>
          <w:rFonts w:ascii="Times New Roman" w:hAnsi="Times New Roman" w:eastAsia="方正楷体_GBK" w:cs="Times New Roman"/>
          <w:sz w:val="30"/>
          <w:szCs w:val="30"/>
        </w:rPr>
      </w:pPr>
      <w:r>
        <w:rPr>
          <w:rFonts w:ascii="Times New Roman" w:hAnsi="Times New Roman" w:eastAsia="方正楷体_GBK" w:cs="Times New Roman"/>
          <w:sz w:val="30"/>
          <w:szCs w:val="30"/>
        </w:rPr>
        <w:t>（三）缴费方式</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1.医保个账缴费。有江门医保个账的基本医保参保人，可以使用江门医保个账为本人和近亲属（父母、配偶、子女、兄弟姐妹、祖父母、外祖父母、孙子女和外孙子女）缴费。</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2.个人现金线上缴费。符合参保条件的参保人可以使用微信、银行卡为本人或符合参保条件的近亲属办理参保缴费手续。</w:t>
      </w:r>
    </w:p>
    <w:p>
      <w:pPr>
        <w:adjustRightInd w:val="0"/>
        <w:snapToGrid w:val="0"/>
        <w:spacing w:line="580" w:lineRule="exact"/>
        <w:ind w:firstLine="600" w:firstLineChars="200"/>
        <w:rPr>
          <w:rFonts w:ascii="Times New Roman" w:hAnsi="Times New Roman" w:eastAsia="方正仿宋_GBK" w:cs="Times New Roman"/>
          <w:bCs/>
          <w:sz w:val="30"/>
          <w:szCs w:val="30"/>
        </w:rPr>
      </w:pPr>
      <w:r>
        <w:rPr>
          <w:rFonts w:ascii="Times New Roman" w:hAnsi="Times New Roman" w:eastAsia="方正仿宋_GBK" w:cs="Times New Roman"/>
          <w:sz w:val="30"/>
          <w:szCs w:val="30"/>
        </w:rPr>
        <w:t>投保分为个人投保和团体投保，投保人均可通过以上方式办理参保缴费。</w:t>
      </w:r>
    </w:p>
    <w:p>
      <w:pPr>
        <w:adjustRightInd w:val="0"/>
        <w:snapToGrid w:val="0"/>
        <w:spacing w:line="580" w:lineRule="exact"/>
        <w:ind w:firstLine="600" w:firstLineChars="200"/>
        <w:rPr>
          <w:rFonts w:ascii="Times New Roman" w:hAnsi="Times New Roman" w:eastAsia="方正黑体_GBK" w:cs="Times New Roman"/>
          <w:bCs/>
          <w:sz w:val="30"/>
          <w:szCs w:val="30"/>
        </w:rPr>
      </w:pPr>
      <w:r>
        <w:rPr>
          <w:rFonts w:ascii="Times New Roman" w:hAnsi="Times New Roman" w:eastAsia="方正黑体_GBK" w:cs="Times New Roman"/>
          <w:bCs/>
          <w:sz w:val="30"/>
          <w:szCs w:val="30"/>
        </w:rPr>
        <w:t>四、一站式结算</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参保人在江门市定点医疗机构发生的纳入“邑康保”理赔的费用，逐步实现与基本医疗保险、大病保险、医疗救助“一站式”结算。2027年，将符合条件的“责任一：医保范围内住院（含门特）医疗费用”和“责任二：医保范围外住院（含门特）药品费用”纳入“一站式”理赔结算，实现零垫付零跑腿，出院即报销。不具备“一站式”理赔结算条件的，</w:t>
      </w:r>
      <w:r>
        <w:rPr>
          <w:rFonts w:hint="eastAsia" w:ascii="Times New Roman" w:hAnsi="Times New Roman" w:eastAsia="方正仿宋_GBK" w:cs="Times New Roman"/>
          <w:sz w:val="30"/>
          <w:szCs w:val="30"/>
        </w:rPr>
        <w:t>可</w:t>
      </w:r>
      <w:r>
        <w:rPr>
          <w:rFonts w:ascii="Times New Roman" w:hAnsi="Times New Roman" w:eastAsia="方正仿宋_GBK" w:cs="Times New Roman"/>
          <w:sz w:val="30"/>
          <w:szCs w:val="30"/>
        </w:rPr>
        <w:t>采取线上或线下零星报销方式报销。</w:t>
      </w:r>
    </w:p>
    <w:p>
      <w:pPr>
        <w:adjustRightInd w:val="0"/>
        <w:snapToGrid w:val="0"/>
        <w:spacing w:line="580" w:lineRule="exact"/>
        <w:ind w:firstLine="600" w:firstLineChars="200"/>
        <w:rPr>
          <w:rFonts w:ascii="Times New Roman" w:hAnsi="Times New Roman" w:eastAsia="方正黑体_GBK" w:cs="Times New Roman"/>
          <w:bCs/>
          <w:sz w:val="30"/>
          <w:szCs w:val="30"/>
        </w:rPr>
      </w:pPr>
      <w:r>
        <w:rPr>
          <w:rFonts w:ascii="Times New Roman" w:hAnsi="Times New Roman" w:eastAsia="方正黑体_GBK" w:cs="Times New Roman"/>
          <w:bCs/>
          <w:sz w:val="30"/>
          <w:szCs w:val="30"/>
        </w:rPr>
        <w:t>五、服务方式</w:t>
      </w:r>
    </w:p>
    <w:p>
      <w:pPr>
        <w:adjustRightInd w:val="0"/>
        <w:snapToGrid w:val="0"/>
        <w:spacing w:line="580" w:lineRule="exact"/>
        <w:ind w:firstLine="600" w:firstLineChars="200"/>
        <w:rPr>
          <w:rFonts w:ascii="Times New Roman" w:hAnsi="Times New Roman" w:eastAsia="方正楷体_GBK" w:cs="Times New Roman"/>
          <w:sz w:val="30"/>
          <w:szCs w:val="30"/>
        </w:rPr>
      </w:pPr>
      <w:r>
        <w:rPr>
          <w:rFonts w:ascii="Times New Roman" w:hAnsi="Times New Roman" w:eastAsia="方正楷体_GBK" w:cs="Times New Roman"/>
          <w:sz w:val="30"/>
          <w:szCs w:val="30"/>
        </w:rPr>
        <w:t>（一）服务热线</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“邑康保”咨询热线：0750-3122563</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全国统一热线：400-0086-803</w:t>
      </w:r>
    </w:p>
    <w:p>
      <w:pPr>
        <w:adjustRightInd w:val="0"/>
        <w:snapToGrid w:val="0"/>
        <w:spacing w:line="580" w:lineRule="exact"/>
        <w:ind w:firstLine="600" w:firstLineChars="200"/>
        <w:rPr>
          <w:rFonts w:ascii="Times New Roman" w:hAnsi="Times New Roman" w:eastAsia="方正楷体_GBK" w:cs="Times New Roman"/>
          <w:sz w:val="30"/>
          <w:szCs w:val="30"/>
        </w:rPr>
      </w:pPr>
      <w:r>
        <w:rPr>
          <w:rFonts w:ascii="Times New Roman" w:hAnsi="Times New Roman" w:eastAsia="方正楷体_GBK" w:cs="Times New Roman"/>
          <w:sz w:val="30"/>
          <w:szCs w:val="30"/>
        </w:rPr>
        <w:t>（二）服务网点咨询</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本市中国人寿、人保财险、太保财险、平安财险线下网点均可提供现场咨询及协助投保服务。</w:t>
      </w:r>
    </w:p>
    <w:p>
      <w:pPr>
        <w:adjustRightInd w:val="0"/>
        <w:snapToGrid w:val="0"/>
        <w:spacing w:line="580" w:lineRule="exact"/>
        <w:ind w:firstLine="600" w:firstLineChars="200"/>
        <w:rPr>
          <w:rFonts w:ascii="Times New Roman" w:hAnsi="Times New Roman" w:eastAsia="方正黑体_GBK" w:cs="Times New Roman"/>
          <w:bCs/>
          <w:sz w:val="30"/>
          <w:szCs w:val="30"/>
        </w:rPr>
      </w:pPr>
      <w:r>
        <w:rPr>
          <w:rFonts w:ascii="Times New Roman" w:hAnsi="Times New Roman" w:eastAsia="方正黑体_GBK" w:cs="Times New Roman"/>
          <w:bCs/>
          <w:sz w:val="30"/>
          <w:szCs w:val="30"/>
        </w:rPr>
        <w:t>六、其他参保事项</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（一）参保事宜和待遇细则由江门“邑康保”承办保险公司负责解释。</w:t>
      </w:r>
    </w:p>
    <w:p>
      <w:pPr>
        <w:adjustRightInd w:val="0"/>
        <w:snapToGrid w:val="0"/>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（二）更多资讯请关注“邑康保”微信公众号，亦可关注江门市医疗保障局官方微信公众号。</w:t>
      </w:r>
    </w:p>
    <w:p>
      <w:pPr>
        <w:adjustRightInd w:val="0"/>
        <w:snapToGrid w:val="0"/>
        <w:spacing w:line="580" w:lineRule="exact"/>
        <w:ind w:firstLine="600" w:firstLineChars="200"/>
        <w:rPr>
          <w:rFonts w:ascii="Times New Roman" w:hAnsi="Times New Roman" w:eastAsia="方正仿宋_GBK" w:cs="Times New Roman"/>
          <w:sz w:val="30"/>
          <w:szCs w:val="30"/>
        </w:rPr>
      </w:pPr>
    </w:p>
    <w:p>
      <w:pPr>
        <w:spacing w:line="58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附件：1.“邑康保”待遇简表（2027版）</w:t>
      </w:r>
    </w:p>
    <w:p>
      <w:pPr>
        <w:adjustRightInd w:val="0"/>
        <w:snapToGrid w:val="0"/>
        <w:spacing w:line="580" w:lineRule="exact"/>
        <w:ind w:firstLine="1500" w:firstLineChars="500"/>
        <w:rPr>
          <w:rFonts w:ascii="Times New Roman" w:hAnsi="Times New Roman" w:eastAsia="方正仿宋_GBK" w:cs="Times New Roman"/>
          <w:sz w:val="30"/>
          <w:szCs w:val="30"/>
        </w:rPr>
      </w:pPr>
      <w:r>
        <w:rPr>
          <w:rFonts w:ascii="Times New Roman" w:hAnsi="Times New Roman" w:eastAsia="方正仿宋_GBK" w:cs="Times New Roman"/>
          <w:sz w:val="30"/>
          <w:szCs w:val="30"/>
        </w:rPr>
        <w:t>2.</w:t>
      </w:r>
      <w:bookmarkStart w:id="0" w:name="OLE_LINK4"/>
      <w:bookmarkStart w:id="1" w:name="OLE_LINK5"/>
      <w:r>
        <w:rPr>
          <w:rFonts w:ascii="Times New Roman" w:hAnsi="Times New Roman" w:eastAsia="方正仿宋_GBK" w:cs="Times New Roman"/>
          <w:sz w:val="30"/>
          <w:szCs w:val="30"/>
        </w:rPr>
        <w:t>“邑康保”健康管理的增值服务</w:t>
      </w:r>
      <w:bookmarkEnd w:id="0"/>
      <w:bookmarkEnd w:id="1"/>
    </w:p>
    <w:p>
      <w:pPr>
        <w:adjustRightInd w:val="0"/>
        <w:snapToGrid w:val="0"/>
        <w:spacing w:line="580" w:lineRule="exact"/>
        <w:ind w:firstLine="1500" w:firstLineChars="500"/>
        <w:rPr>
          <w:rFonts w:ascii="Times New Roman" w:hAnsi="Times New Roman" w:eastAsia="方正仿宋_GBK" w:cs="Times New Roman"/>
          <w:sz w:val="30"/>
          <w:szCs w:val="30"/>
        </w:rPr>
      </w:pPr>
      <w:r>
        <w:rPr>
          <w:rFonts w:ascii="Times New Roman" w:hAnsi="Times New Roman" w:eastAsia="方正仿宋_GBK" w:cs="Times New Roman"/>
          <w:sz w:val="30"/>
          <w:szCs w:val="30"/>
        </w:rPr>
        <w:t>3.“邑康保”LOGO及公众号二维码</w:t>
      </w:r>
    </w:p>
    <w:p>
      <w:pPr>
        <w:spacing w:line="580" w:lineRule="exact"/>
        <w:rPr>
          <w:rFonts w:ascii="Times New Roman" w:hAnsi="Times New Roman" w:eastAsia="方正仿宋_GBK" w:cs="Times New Roman"/>
          <w:sz w:val="30"/>
          <w:szCs w:val="30"/>
        </w:rPr>
      </w:pPr>
      <w:r>
        <w:rPr>
          <w:rFonts w:ascii="Times New Roman" w:hAnsi="Times New Roman" w:eastAsia="方正仿宋_GBK" w:cs="Times New Roman"/>
          <w:sz w:val="30"/>
          <w:szCs w:val="30"/>
        </w:rPr>
        <w:br w:type="page"/>
      </w:r>
      <w:r>
        <w:rPr>
          <w:rFonts w:ascii="Times New Roman" w:hAnsi="Times New Roman" w:eastAsia="方正黑体_GBK" w:cs="Times New Roman"/>
          <w:sz w:val="30"/>
          <w:szCs w:val="30"/>
        </w:rPr>
        <w:t>附件</w:t>
      </w:r>
      <w:r>
        <w:rPr>
          <w:rFonts w:hint="eastAsia" w:ascii="Times New Roman" w:hAnsi="Times New Roman" w:eastAsia="方正黑体_GBK" w:cs="Times New Roman"/>
          <w:sz w:val="30"/>
          <w:szCs w:val="30"/>
          <w:lang w:val="en-US" w:eastAsia="zh-CN"/>
        </w:rPr>
        <w:t>-</w:t>
      </w:r>
      <w:r>
        <w:rPr>
          <w:rFonts w:ascii="Times New Roman" w:hAnsi="Times New Roman" w:eastAsia="方正黑体_GBK" w:cs="Times New Roman"/>
          <w:sz w:val="30"/>
          <w:szCs w:val="30"/>
        </w:rPr>
        <w:t>1</w:t>
      </w:r>
    </w:p>
    <w:p>
      <w:pPr>
        <w:adjustRightInd w:val="0"/>
        <w:snapToGrid w:val="0"/>
        <w:spacing w:line="580" w:lineRule="exact"/>
        <w:jc w:val="center"/>
        <w:rPr>
          <w:rFonts w:ascii="Times New Roman" w:hAnsi="Times New Roman" w:eastAsia="方正大标宋_GBK" w:cs="Times New Roman"/>
          <w:sz w:val="42"/>
          <w:szCs w:val="42"/>
        </w:rPr>
      </w:pPr>
      <w:r>
        <w:rPr>
          <w:rFonts w:ascii="Times New Roman" w:hAnsi="Times New Roman" w:eastAsia="方正大标宋_GBK" w:cs="Times New Roman"/>
          <w:sz w:val="42"/>
          <w:szCs w:val="42"/>
        </w:rPr>
        <w:t>“邑康保”待遇简表（2027版）</w:t>
      </w:r>
    </w:p>
    <w:tbl>
      <w:tblPr>
        <w:tblStyle w:val="9"/>
        <w:tblW w:w="5698" w:type="pct"/>
        <w:tblInd w:w="-340" w:type="dxa"/>
        <w:tblLayout w:type="fixed"/>
        <w:tblCellMar>
          <w:top w:w="0" w:type="dxa"/>
          <w:left w:w="108" w:type="dxa"/>
          <w:bottom w:w="0" w:type="dxa"/>
          <w:right w:w="108" w:type="dxa"/>
        </w:tblCellMar>
      </w:tblPr>
      <w:tblGrid>
        <w:gridCol w:w="733"/>
        <w:gridCol w:w="1134"/>
        <w:gridCol w:w="2692"/>
        <w:gridCol w:w="1029"/>
        <w:gridCol w:w="995"/>
        <w:gridCol w:w="1097"/>
        <w:gridCol w:w="1154"/>
        <w:gridCol w:w="878"/>
      </w:tblGrid>
      <w:tr>
        <w:tblPrEx>
          <w:tblCellMar>
            <w:top w:w="0" w:type="dxa"/>
            <w:left w:w="108" w:type="dxa"/>
            <w:bottom w:w="0" w:type="dxa"/>
            <w:right w:w="108" w:type="dxa"/>
          </w:tblCellMar>
        </w:tblPrEx>
        <w:trPr>
          <w:trHeight w:val="9" w:hRule="atLeast"/>
        </w:trPr>
        <w:tc>
          <w:tcPr>
            <w:tcW w:w="96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保障责任</w:t>
            </w:r>
          </w:p>
        </w:tc>
        <w:tc>
          <w:tcPr>
            <w:tcW w:w="1386"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保障范围</w:t>
            </w:r>
          </w:p>
        </w:tc>
        <w:tc>
          <w:tcPr>
            <w:tcW w:w="530"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保险</w:t>
            </w:r>
          </w:p>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金额</w:t>
            </w:r>
          </w:p>
        </w:tc>
        <w:tc>
          <w:tcPr>
            <w:tcW w:w="512"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给付比例</w:t>
            </w:r>
          </w:p>
        </w:tc>
        <w:tc>
          <w:tcPr>
            <w:tcW w:w="565"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年起</w:t>
            </w:r>
          </w:p>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付线</w:t>
            </w:r>
          </w:p>
        </w:tc>
        <w:tc>
          <w:tcPr>
            <w:tcW w:w="594"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起赔线</w:t>
            </w:r>
          </w:p>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优惠</w:t>
            </w:r>
          </w:p>
        </w:tc>
        <w:tc>
          <w:tcPr>
            <w:tcW w:w="452"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黑体_GBK" w:cs="Times New Roman"/>
                <w:color w:val="000000"/>
                <w:kern w:val="0"/>
                <w:sz w:val="30"/>
                <w:szCs w:val="30"/>
              </w:rPr>
            </w:pPr>
            <w:r>
              <w:rPr>
                <w:rFonts w:ascii="Times New Roman" w:hAnsi="Times New Roman" w:eastAsia="方正黑体_GBK" w:cs="Times New Roman"/>
                <w:color w:val="000000"/>
                <w:kern w:val="0"/>
                <w:sz w:val="30"/>
                <w:szCs w:val="30"/>
              </w:rPr>
              <w:t>既往症</w:t>
            </w:r>
          </w:p>
        </w:tc>
      </w:tr>
      <w:tr>
        <w:tblPrEx>
          <w:tblCellMar>
            <w:top w:w="0" w:type="dxa"/>
            <w:left w:w="108" w:type="dxa"/>
            <w:bottom w:w="0" w:type="dxa"/>
            <w:right w:w="108" w:type="dxa"/>
          </w:tblCellMar>
        </w:tblPrEx>
        <w:trPr>
          <w:trHeight w:val="5248" w:hRule="atLeast"/>
        </w:trPr>
        <w:tc>
          <w:tcPr>
            <w:tcW w:w="37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b/>
                <w:bCs/>
                <w:color w:val="000000"/>
                <w:kern w:val="0"/>
                <w:sz w:val="30"/>
                <w:szCs w:val="30"/>
              </w:rPr>
              <w:t>医疗保障</w:t>
            </w:r>
          </w:p>
        </w:tc>
        <w:tc>
          <w:tcPr>
            <w:tcW w:w="584" w:type="pct"/>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sz w:val="22"/>
              </w:rPr>
            </w:pPr>
            <w:r>
              <w:rPr>
                <w:rFonts w:ascii="Times New Roman" w:hAnsi="Times New Roman" w:eastAsia="方正仿宋_GBK" w:cs="Times New Roman"/>
                <w:sz w:val="22"/>
              </w:rPr>
              <w:t>责任一：</w:t>
            </w:r>
          </w:p>
          <w:p>
            <w:pPr>
              <w:widowControl/>
              <w:spacing w:line="400" w:lineRule="exact"/>
              <w:jc w:val="center"/>
              <w:rPr>
                <w:rFonts w:ascii="Times New Roman" w:hAnsi="Times New Roman" w:eastAsia="方正仿宋_GBK" w:cs="Times New Roman"/>
                <w:sz w:val="22"/>
              </w:rPr>
            </w:pPr>
            <w:r>
              <w:rPr>
                <w:rFonts w:ascii="Times New Roman" w:hAnsi="Times New Roman" w:eastAsia="方正仿宋_GBK" w:cs="Times New Roman"/>
                <w:sz w:val="22"/>
              </w:rPr>
              <w:t>医保范围内住院（含指定门特）</w:t>
            </w:r>
          </w:p>
          <w:p>
            <w:pPr>
              <w:widowControl/>
              <w:spacing w:line="400" w:lineRule="exact"/>
              <w:jc w:val="center"/>
              <w:rPr>
                <w:rFonts w:ascii="Times New Roman" w:hAnsi="Times New Roman" w:eastAsia="方正仿宋_GBK" w:cs="Times New Roman"/>
                <w:b/>
                <w:bCs/>
                <w:color w:val="000000"/>
                <w:spacing w:val="-20"/>
                <w:kern w:val="0"/>
                <w:sz w:val="22"/>
              </w:rPr>
            </w:pPr>
            <w:r>
              <w:rPr>
                <w:rFonts w:ascii="Times New Roman" w:hAnsi="Times New Roman" w:eastAsia="方正仿宋_GBK" w:cs="Times New Roman"/>
                <w:sz w:val="22"/>
              </w:rPr>
              <w:t>医疗费用</w:t>
            </w:r>
          </w:p>
        </w:tc>
        <w:tc>
          <w:tcPr>
            <w:tcW w:w="1386" w:type="pct"/>
            <w:tcBorders>
              <w:top w:val="single" w:color="auto" w:sz="4" w:space="0"/>
              <w:left w:val="nil"/>
              <w:bottom w:val="single" w:color="auto" w:sz="4" w:space="0"/>
              <w:right w:val="single" w:color="000000" w:sz="4" w:space="0"/>
            </w:tcBorders>
            <w:shd w:val="clear" w:color="auto" w:fill="auto"/>
            <w:vAlign w:val="center"/>
          </w:tcPr>
          <w:p>
            <w:pPr>
              <w:widowControl/>
              <w:spacing w:line="400" w:lineRule="exact"/>
              <w:rPr>
                <w:rFonts w:ascii="Times New Roman" w:hAnsi="Times New Roman" w:eastAsia="方正仿宋_GBK" w:cs="Times New Roman"/>
                <w:color w:val="000000"/>
                <w:kern w:val="0"/>
                <w:sz w:val="22"/>
              </w:rPr>
            </w:pPr>
            <w:r>
              <w:rPr>
                <w:rFonts w:ascii="Times New Roman" w:hAnsi="Times New Roman" w:eastAsia="方正仿宋_GBK" w:cs="Times New Roman"/>
                <w:color w:val="000000"/>
                <w:sz w:val="22"/>
              </w:rPr>
              <w:t>保险期间内，被保险人因疾病或意外在基本医疗保险定点医疗机构因住院或指定门诊特定病种发生的，符合基本医疗保险政策范围内的医疗费用，经基本医疗保险、大病保险、医疗救助等医疗保障报销后，需个人负担的医疗费用超过本责任起付线以上的部分</w:t>
            </w:r>
            <w:r>
              <w:rPr>
                <w:rFonts w:ascii="Times New Roman" w:hAnsi="Times New Roman" w:eastAsia="方正仿宋_GBK" w:cs="Times New Roman"/>
                <w:b/>
                <w:color w:val="000000"/>
                <w:sz w:val="22"/>
              </w:rPr>
              <w:t>（不含先行自付费用）</w:t>
            </w:r>
            <w:r>
              <w:rPr>
                <w:rFonts w:ascii="Times New Roman" w:hAnsi="Times New Roman" w:eastAsia="方正仿宋_GBK" w:cs="Times New Roman"/>
                <w:color w:val="000000"/>
                <w:sz w:val="22"/>
              </w:rPr>
              <w:t>。医嘱外购药品不纳入报销范围。</w:t>
            </w:r>
          </w:p>
        </w:tc>
        <w:tc>
          <w:tcPr>
            <w:tcW w:w="530" w:type="pct"/>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150</w:t>
            </w:r>
          </w:p>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万元</w:t>
            </w:r>
          </w:p>
        </w:tc>
        <w:tc>
          <w:tcPr>
            <w:tcW w:w="512" w:type="pct"/>
            <w:vMerge w:val="restart"/>
            <w:tcBorders>
              <w:top w:val="nil"/>
              <w:left w:val="nil"/>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75%</w:t>
            </w:r>
          </w:p>
        </w:tc>
        <w:tc>
          <w:tcPr>
            <w:tcW w:w="565" w:type="pct"/>
            <w:vMerge w:val="restart"/>
            <w:tcBorders>
              <w:top w:val="nil"/>
              <w:left w:val="nil"/>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连续参保1.5万元；首次或非连续参保2万元。</w:t>
            </w:r>
          </w:p>
        </w:tc>
        <w:tc>
          <w:tcPr>
            <w:tcW w:w="594" w:type="pct"/>
            <w:vMerge w:val="restart"/>
            <w:tcBorders>
              <w:top w:val="single" w:color="auto" w:sz="4" w:space="0"/>
              <w:left w:val="single" w:color="auto" w:sz="4" w:space="0"/>
              <w:right w:val="single" w:color="auto" w:sz="4" w:space="0"/>
            </w:tcBorders>
            <w:shd w:val="clear" w:color="auto" w:fill="auto"/>
            <w:vAlign w:val="center"/>
          </w:tcPr>
          <w:p>
            <w:pPr>
              <w:pStyle w:val="8"/>
              <w:widowControl/>
              <w:spacing w:before="100" w:after="100" w:line="400" w:lineRule="exact"/>
              <w:rPr>
                <w:rFonts w:ascii="Times New Roman" w:hAnsi="Times New Roman" w:eastAsia="方正仿宋_GBK"/>
                <w:color w:val="000000"/>
                <w:sz w:val="22"/>
              </w:rPr>
            </w:pPr>
            <w:r>
              <w:rPr>
                <w:rFonts w:ascii="Times New Roman" w:hAnsi="Times New Roman" w:eastAsia="方正仿宋_GBK"/>
                <w:color w:val="000000"/>
                <w:sz w:val="22"/>
              </w:rPr>
              <w:t>连续两年参保且获赔金额为0，起赔线下调1000元（即</w:t>
            </w:r>
            <w:r>
              <w:rPr>
                <w:rFonts w:hint="eastAsia" w:ascii="Times New Roman" w:hAnsi="Times New Roman" w:eastAsia="方正仿宋_GBK"/>
                <w:color w:val="000000"/>
                <w:sz w:val="22"/>
              </w:rPr>
              <w:t>14000元</w:t>
            </w:r>
            <w:r>
              <w:rPr>
                <w:rFonts w:ascii="Times New Roman" w:hAnsi="Times New Roman" w:eastAsia="方正仿宋_GBK"/>
                <w:color w:val="000000"/>
                <w:sz w:val="22"/>
              </w:rPr>
              <w:t>）；连续三年参保且获赔金额为0，起赔线下调2000元（即</w:t>
            </w:r>
            <w:r>
              <w:rPr>
                <w:rFonts w:hint="eastAsia" w:ascii="Times New Roman" w:hAnsi="Times New Roman" w:eastAsia="方正仿宋_GBK"/>
                <w:color w:val="000000"/>
                <w:sz w:val="22"/>
              </w:rPr>
              <w:t>13000元</w:t>
            </w:r>
            <w:r>
              <w:rPr>
                <w:rFonts w:ascii="Times New Roman" w:hAnsi="Times New Roman" w:eastAsia="方正仿宋_GBK"/>
                <w:color w:val="000000"/>
                <w:sz w:val="22"/>
              </w:rPr>
              <w:t>）。</w:t>
            </w:r>
          </w:p>
        </w:tc>
        <w:tc>
          <w:tcPr>
            <w:tcW w:w="45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既往症和非既往症人群给付标准一致，不区别对待。</w:t>
            </w:r>
          </w:p>
        </w:tc>
      </w:tr>
      <w:tr>
        <w:tblPrEx>
          <w:tblCellMar>
            <w:top w:w="0" w:type="dxa"/>
            <w:left w:w="108" w:type="dxa"/>
            <w:bottom w:w="0" w:type="dxa"/>
            <w:right w:w="108" w:type="dxa"/>
          </w:tblCellMar>
        </w:tblPrEx>
        <w:trPr>
          <w:trHeight w:val="6358" w:hRule="atLeast"/>
        </w:trPr>
        <w:tc>
          <w:tcPr>
            <w:tcW w:w="377"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方正仿宋_GBK" w:cs="Times New Roman"/>
                <w:b/>
                <w:bCs/>
                <w:color w:val="000000"/>
                <w:kern w:val="0"/>
                <w:sz w:val="30"/>
                <w:szCs w:val="30"/>
              </w:rPr>
            </w:pPr>
          </w:p>
        </w:tc>
        <w:tc>
          <w:tcPr>
            <w:tcW w:w="584" w:type="pct"/>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sz w:val="22"/>
              </w:rPr>
            </w:pPr>
            <w:r>
              <w:rPr>
                <w:rFonts w:ascii="Times New Roman" w:hAnsi="Times New Roman" w:eastAsia="方正仿宋_GBK" w:cs="Times New Roman"/>
                <w:sz w:val="22"/>
              </w:rPr>
              <w:t>责任二：医保范围外住院（含指定门特）</w:t>
            </w:r>
          </w:p>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sz w:val="22"/>
              </w:rPr>
              <w:t>药品费用</w:t>
            </w:r>
          </w:p>
        </w:tc>
        <w:tc>
          <w:tcPr>
            <w:tcW w:w="1386" w:type="pct"/>
            <w:tcBorders>
              <w:top w:val="single" w:color="auto" w:sz="4" w:space="0"/>
              <w:left w:val="nil"/>
              <w:bottom w:val="single" w:color="auto" w:sz="4" w:space="0"/>
              <w:right w:val="single" w:color="000000" w:sz="4" w:space="0"/>
            </w:tcBorders>
            <w:shd w:val="clear" w:color="auto" w:fill="auto"/>
            <w:vAlign w:val="center"/>
          </w:tcPr>
          <w:p>
            <w:pPr>
              <w:widowControl/>
              <w:spacing w:line="400" w:lineRule="exact"/>
              <w:rPr>
                <w:rFonts w:ascii="Times New Roman" w:hAnsi="Times New Roman" w:eastAsia="方正仿宋_GBK" w:cs="Times New Roman"/>
                <w:color w:val="000000"/>
                <w:kern w:val="0"/>
                <w:sz w:val="22"/>
              </w:rPr>
            </w:pPr>
            <w:r>
              <w:rPr>
                <w:rFonts w:ascii="Times New Roman" w:hAnsi="Times New Roman" w:eastAsia="方正仿宋_GBK" w:cs="Times New Roman"/>
                <w:color w:val="000000"/>
                <w:sz w:val="22"/>
              </w:rPr>
              <w:t>保险期间内，被保险人因疾病或意外在基本医疗保险定点医疗机构因住院或指定门诊特定病种发生的，经基本医疗保险、大病保险、医疗救助等医疗保障报销后，需个人负担的基本医疗保险政策范围外的，合理治疗所需的药品费用。医嘱外购药品不纳入报销范围。</w:t>
            </w:r>
            <w:r>
              <w:rPr>
                <w:rFonts w:hint="eastAsia" w:ascii="Times New Roman" w:hAnsi="Times New Roman" w:eastAsia="方正仿宋_GBK" w:cs="Times New Roman"/>
                <w:b/>
                <w:color w:val="000000"/>
                <w:sz w:val="22"/>
              </w:rPr>
              <w:t>（责任二所指合理治疗，应与国家药品监督管理局批准的药品说明书中所列明的适应症用法用量相符）</w:t>
            </w:r>
          </w:p>
        </w:tc>
        <w:tc>
          <w:tcPr>
            <w:tcW w:w="530" w:type="pct"/>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100</w:t>
            </w:r>
          </w:p>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万元</w:t>
            </w:r>
          </w:p>
        </w:tc>
        <w:tc>
          <w:tcPr>
            <w:tcW w:w="512" w:type="pct"/>
            <w:vMerge w:val="continue"/>
            <w:tcBorders>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p>
        </w:tc>
        <w:tc>
          <w:tcPr>
            <w:tcW w:w="565" w:type="pct"/>
            <w:vMerge w:val="continue"/>
            <w:tcBorders>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p>
        </w:tc>
        <w:tc>
          <w:tcPr>
            <w:tcW w:w="594" w:type="pct"/>
            <w:vMerge w:val="continue"/>
            <w:tcBorders>
              <w:left w:val="single" w:color="auto" w:sz="4" w:space="0"/>
              <w:bottom w:val="single" w:color="auto" w:sz="4" w:space="0"/>
              <w:right w:val="single" w:color="auto" w:sz="4" w:space="0"/>
            </w:tcBorders>
            <w:shd w:val="clear" w:color="auto" w:fill="auto"/>
            <w:vAlign w:val="center"/>
          </w:tcPr>
          <w:p>
            <w:pPr>
              <w:widowControl/>
              <w:spacing w:line="400" w:lineRule="exact"/>
              <w:jc w:val="left"/>
              <w:rPr>
                <w:rFonts w:ascii="Times New Roman" w:hAnsi="Times New Roman" w:eastAsia="方正仿宋_GBK" w:cs="Times New Roman"/>
                <w:color w:val="000000"/>
                <w:kern w:val="0"/>
                <w:sz w:val="22"/>
              </w:rPr>
            </w:pPr>
          </w:p>
        </w:tc>
        <w:tc>
          <w:tcPr>
            <w:tcW w:w="45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left"/>
              <w:rPr>
                <w:rFonts w:ascii="Times New Roman" w:hAnsi="Times New Roman" w:eastAsia="方正仿宋_GBK" w:cs="Times New Roman"/>
                <w:color w:val="000000"/>
                <w:kern w:val="0"/>
                <w:sz w:val="22"/>
              </w:rPr>
            </w:pPr>
          </w:p>
        </w:tc>
      </w:tr>
      <w:tr>
        <w:tblPrEx>
          <w:tblCellMar>
            <w:top w:w="0" w:type="dxa"/>
            <w:left w:w="108" w:type="dxa"/>
            <w:bottom w:w="0" w:type="dxa"/>
            <w:right w:w="108" w:type="dxa"/>
          </w:tblCellMar>
        </w:tblPrEx>
        <w:trPr>
          <w:trHeight w:val="2721" w:hRule="atLeast"/>
        </w:trPr>
        <w:tc>
          <w:tcPr>
            <w:tcW w:w="37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b/>
                <w:bCs/>
                <w:color w:val="000000"/>
                <w:kern w:val="0"/>
                <w:sz w:val="30"/>
                <w:szCs w:val="30"/>
              </w:rPr>
              <w:t>医疗保障</w:t>
            </w:r>
          </w:p>
        </w:tc>
        <w:tc>
          <w:tcPr>
            <w:tcW w:w="58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sz w:val="22"/>
              </w:rPr>
              <w:t>责任三：特定自费药品费用</w:t>
            </w:r>
          </w:p>
        </w:tc>
        <w:tc>
          <w:tcPr>
            <w:tcW w:w="1386"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rPr>
                <w:rFonts w:ascii="Times New Roman" w:hAnsi="Times New Roman" w:eastAsia="方正仿宋_GBK" w:cs="Times New Roman"/>
                <w:color w:val="000000"/>
                <w:kern w:val="0"/>
                <w:sz w:val="22"/>
              </w:rPr>
            </w:pPr>
            <w:r>
              <w:rPr>
                <w:rFonts w:ascii="Times New Roman" w:hAnsi="Times New Roman" w:eastAsia="方正仿宋_GBK" w:cs="Times New Roman"/>
                <w:color w:val="000000"/>
                <w:sz w:val="22"/>
              </w:rPr>
              <w:t>保险期间内，被保险人经指定专科医生诊断并开具处方，在指定医院门诊或指定药店购买和使用的《特定自费药品目录》中的药品费用。</w:t>
            </w:r>
            <w:r>
              <w:rPr>
                <w:rFonts w:hint="eastAsia" w:ascii="Times New Roman" w:hAnsi="Times New Roman" w:eastAsia="方正仿宋_GBK" w:cs="Times New Roman"/>
                <w:color w:val="000000"/>
                <w:sz w:val="22"/>
              </w:rPr>
              <w:t>（</w:t>
            </w:r>
            <w:r>
              <w:rPr>
                <w:rFonts w:hint="eastAsia" w:ascii="仿宋" w:hAnsi="仿宋" w:eastAsia="仿宋" w:cs="仿宋"/>
                <w:b/>
                <w:bCs/>
                <w:color w:val="000000"/>
                <w:sz w:val="22"/>
              </w:rPr>
              <w:t>责任三具体赔付细则以公布的产品说明书为准）</w:t>
            </w:r>
          </w:p>
        </w:tc>
        <w:tc>
          <w:tcPr>
            <w:tcW w:w="53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100</w:t>
            </w:r>
          </w:p>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万元</w:t>
            </w:r>
          </w:p>
        </w:tc>
        <w:tc>
          <w:tcPr>
            <w:tcW w:w="51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75%</w:t>
            </w: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1万元</w:t>
            </w:r>
          </w:p>
        </w:tc>
        <w:tc>
          <w:tcPr>
            <w:tcW w:w="594" w:type="pct"/>
            <w:vMerge w:val="restart"/>
            <w:tcBorders>
              <w:top w:val="single" w:color="auto" w:sz="4" w:space="0"/>
              <w:left w:val="single" w:color="auto" w:sz="4" w:space="0"/>
              <w:right w:val="single" w:color="auto" w:sz="4" w:space="0"/>
            </w:tcBorders>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w:t>
            </w:r>
          </w:p>
        </w:tc>
        <w:tc>
          <w:tcPr>
            <w:tcW w:w="45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w:t>
            </w:r>
          </w:p>
        </w:tc>
      </w:tr>
      <w:tr>
        <w:tblPrEx>
          <w:tblCellMar>
            <w:top w:w="0" w:type="dxa"/>
            <w:left w:w="108" w:type="dxa"/>
            <w:bottom w:w="0" w:type="dxa"/>
            <w:right w:w="108" w:type="dxa"/>
          </w:tblCellMar>
        </w:tblPrEx>
        <w:trPr>
          <w:trHeight w:val="3154" w:hRule="atLeast"/>
        </w:trPr>
        <w:tc>
          <w:tcPr>
            <w:tcW w:w="377"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方正仿宋_GBK" w:cs="Times New Roman"/>
                <w:b/>
                <w:bCs/>
                <w:color w:val="000000"/>
                <w:kern w:val="0"/>
                <w:sz w:val="30"/>
                <w:szCs w:val="30"/>
              </w:rPr>
            </w:pPr>
          </w:p>
        </w:tc>
        <w:tc>
          <w:tcPr>
            <w:tcW w:w="584"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sz w:val="22"/>
              </w:rPr>
              <w:t>责任四：</w:t>
            </w:r>
            <w:r>
              <w:rPr>
                <w:rFonts w:ascii="Times New Roman" w:hAnsi="Times New Roman" w:eastAsia="方正仿宋_GBK" w:cs="Times New Roman"/>
                <w:color w:val="000000"/>
                <w:sz w:val="22"/>
              </w:rPr>
              <w:t>“港澳药械通”</w:t>
            </w:r>
          </w:p>
        </w:tc>
        <w:tc>
          <w:tcPr>
            <w:tcW w:w="1386"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rPr>
                <w:rFonts w:ascii="Times New Roman" w:hAnsi="Times New Roman" w:eastAsia="方正仿宋_GBK" w:cs="Times New Roman"/>
                <w:color w:val="000000"/>
                <w:kern w:val="0"/>
                <w:sz w:val="22"/>
              </w:rPr>
            </w:pPr>
            <w:r>
              <w:rPr>
                <w:rFonts w:ascii="Times New Roman" w:hAnsi="Times New Roman" w:eastAsia="方正仿宋_GBK" w:cs="Times New Roman"/>
                <w:color w:val="000000"/>
                <w:sz w:val="22"/>
              </w:rPr>
              <w:t>保险期间内，被保险人在江门市“港澳药械通”指定医疗机构确因病情需要使用该医疗机构已向本项目承办机构申报审核同意的“港澳药械通”指定药械所发生的医疗费用。</w:t>
            </w:r>
          </w:p>
        </w:tc>
        <w:tc>
          <w:tcPr>
            <w:tcW w:w="530"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20万元</w:t>
            </w:r>
          </w:p>
        </w:tc>
        <w:tc>
          <w:tcPr>
            <w:tcW w:w="512"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50%</w:t>
            </w:r>
          </w:p>
        </w:tc>
        <w:tc>
          <w:tcPr>
            <w:tcW w:w="565"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3万元</w:t>
            </w:r>
          </w:p>
        </w:tc>
        <w:tc>
          <w:tcPr>
            <w:tcW w:w="594" w:type="pct"/>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方正仿宋_GBK" w:cs="Times New Roman"/>
                <w:color w:val="000000"/>
                <w:kern w:val="0"/>
                <w:sz w:val="22"/>
              </w:rPr>
            </w:pPr>
          </w:p>
        </w:tc>
        <w:tc>
          <w:tcPr>
            <w:tcW w:w="45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left"/>
              <w:rPr>
                <w:rFonts w:ascii="Times New Roman" w:hAnsi="Times New Roman" w:eastAsia="方正仿宋_GBK" w:cs="Times New Roman"/>
                <w:color w:val="000000"/>
                <w:kern w:val="0"/>
                <w:sz w:val="22"/>
              </w:rPr>
            </w:pPr>
          </w:p>
        </w:tc>
      </w:tr>
      <w:tr>
        <w:tblPrEx>
          <w:tblCellMar>
            <w:top w:w="0" w:type="dxa"/>
            <w:left w:w="108" w:type="dxa"/>
            <w:bottom w:w="0" w:type="dxa"/>
            <w:right w:w="108" w:type="dxa"/>
          </w:tblCellMar>
        </w:tblPrEx>
        <w:trPr>
          <w:trHeight w:val="2835" w:hRule="atLeast"/>
        </w:trPr>
        <w:tc>
          <w:tcPr>
            <w:tcW w:w="377" w:type="pct"/>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b/>
                <w:bCs/>
                <w:color w:val="000000"/>
                <w:kern w:val="0"/>
                <w:sz w:val="30"/>
                <w:szCs w:val="30"/>
              </w:rPr>
              <w:t>照护保障</w:t>
            </w:r>
          </w:p>
        </w:tc>
        <w:tc>
          <w:tcPr>
            <w:tcW w:w="584" w:type="pct"/>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sz w:val="22"/>
              </w:rPr>
              <w:t>责任五：照护服务保险金</w:t>
            </w:r>
          </w:p>
        </w:tc>
        <w:tc>
          <w:tcPr>
            <w:tcW w:w="1386" w:type="pct"/>
            <w:tcBorders>
              <w:top w:val="nil"/>
              <w:left w:val="nil"/>
              <w:bottom w:val="single" w:color="auto" w:sz="4" w:space="0"/>
              <w:right w:val="single" w:color="auto" w:sz="4" w:space="0"/>
            </w:tcBorders>
            <w:shd w:val="clear" w:color="auto" w:fill="auto"/>
            <w:vAlign w:val="center"/>
          </w:tcPr>
          <w:p>
            <w:pPr>
              <w:widowControl/>
              <w:spacing w:line="400" w:lineRule="exact"/>
              <w:rPr>
                <w:rFonts w:ascii="Times New Roman" w:hAnsi="Times New Roman" w:eastAsia="方正仿宋_GBK" w:cs="Times New Roman"/>
                <w:b/>
                <w:bCs/>
                <w:color w:val="000000"/>
                <w:kern w:val="0"/>
                <w:sz w:val="22"/>
              </w:rPr>
            </w:pPr>
            <w:r>
              <w:rPr>
                <w:rFonts w:ascii="Times New Roman" w:hAnsi="Times New Roman" w:eastAsia="方正仿宋_GBK" w:cs="Times New Roman"/>
                <w:color w:val="000000"/>
                <w:sz w:val="22"/>
              </w:rPr>
              <w:t>被保险人因年老、疾病、伤残等原因，生活完全不能自理，经</w:t>
            </w:r>
            <w:r>
              <w:rPr>
                <w:rFonts w:hint="eastAsia" w:ascii="Times New Roman" w:hAnsi="Times New Roman" w:eastAsia="方正仿宋_GBK" w:cs="Times New Roman"/>
                <w:color w:val="000000"/>
                <w:sz w:val="22"/>
              </w:rPr>
              <w:t>指定评估机构认定</w:t>
            </w:r>
            <w:r>
              <w:rPr>
                <w:rFonts w:ascii="Times New Roman" w:hAnsi="Times New Roman" w:eastAsia="方正仿宋_GBK" w:cs="Times New Roman"/>
                <w:color w:val="000000"/>
                <w:sz w:val="22"/>
              </w:rPr>
              <w:t>失能</w:t>
            </w:r>
            <w:r>
              <w:rPr>
                <w:rFonts w:hint="eastAsia" w:ascii="Times New Roman" w:hAnsi="Times New Roman" w:eastAsia="方正仿宋_GBK" w:cs="Times New Roman"/>
                <w:color w:val="000000"/>
                <w:sz w:val="22"/>
              </w:rPr>
              <w:t>等级</w:t>
            </w:r>
            <w:r>
              <w:rPr>
                <w:rFonts w:ascii="Times New Roman" w:hAnsi="Times New Roman" w:eastAsia="方正仿宋_GBK" w:cs="Times New Roman"/>
                <w:color w:val="000000"/>
                <w:sz w:val="22"/>
              </w:rPr>
              <w:t>达到重度失能I级以上标准，并入住</w:t>
            </w:r>
            <w:r>
              <w:rPr>
                <w:rFonts w:hint="eastAsia" w:ascii="Times New Roman" w:hAnsi="Times New Roman" w:eastAsia="方正仿宋_GBK" w:cs="Times New Roman"/>
                <w:color w:val="000000"/>
                <w:sz w:val="22"/>
              </w:rPr>
              <w:t>指定</w:t>
            </w:r>
            <w:r>
              <w:rPr>
                <w:rFonts w:ascii="Times New Roman" w:hAnsi="Times New Roman" w:eastAsia="方正仿宋_GBK" w:cs="Times New Roman"/>
                <w:color w:val="000000"/>
                <w:sz w:val="22"/>
              </w:rPr>
              <w:t>定点服务机构的，按月给付照护服务待遇。</w:t>
            </w:r>
          </w:p>
        </w:tc>
        <w:tc>
          <w:tcPr>
            <w:tcW w:w="530"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500元/人/月</w:t>
            </w:r>
          </w:p>
        </w:tc>
        <w:tc>
          <w:tcPr>
            <w:tcW w:w="512"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w:t>
            </w:r>
          </w:p>
        </w:tc>
        <w:tc>
          <w:tcPr>
            <w:tcW w:w="565" w:type="pct"/>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无起付线</w:t>
            </w:r>
          </w:p>
        </w:tc>
        <w:tc>
          <w:tcPr>
            <w:tcW w:w="594" w:type="pct"/>
            <w:tcBorders>
              <w:top w:val="nil"/>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w:t>
            </w:r>
          </w:p>
        </w:tc>
        <w:tc>
          <w:tcPr>
            <w:tcW w:w="45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w:t>
            </w:r>
          </w:p>
        </w:tc>
      </w:tr>
      <w:tr>
        <w:tblPrEx>
          <w:tblCellMar>
            <w:top w:w="0" w:type="dxa"/>
            <w:left w:w="108" w:type="dxa"/>
            <w:bottom w:w="0" w:type="dxa"/>
            <w:right w:w="108" w:type="dxa"/>
          </w:tblCellMar>
        </w:tblPrEx>
        <w:trPr>
          <w:trHeight w:val="1862" w:hRule="atLeast"/>
        </w:trPr>
        <w:tc>
          <w:tcPr>
            <w:tcW w:w="37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b/>
                <w:bCs/>
                <w:color w:val="000000"/>
                <w:kern w:val="0"/>
                <w:sz w:val="30"/>
                <w:szCs w:val="30"/>
              </w:rPr>
              <w:t>未成年人关爱计划</w:t>
            </w:r>
          </w:p>
        </w:tc>
        <w:tc>
          <w:tcPr>
            <w:tcW w:w="58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责任六：未成年</w:t>
            </w:r>
          </w:p>
          <w:p>
            <w:pPr>
              <w:widowControl/>
              <w:spacing w:line="400" w:lineRule="exact"/>
              <w:jc w:val="center"/>
              <w:rPr>
                <w:rFonts w:ascii="Times New Roman" w:hAnsi="Times New Roman" w:eastAsia="方正仿宋_GBK" w:cs="Times New Roman"/>
                <w:b/>
                <w:bCs/>
                <w:color w:val="000000"/>
                <w:kern w:val="0"/>
                <w:sz w:val="30"/>
                <w:szCs w:val="30"/>
              </w:rPr>
            </w:pPr>
            <w:r>
              <w:rPr>
                <w:rFonts w:ascii="Times New Roman" w:hAnsi="Times New Roman" w:eastAsia="方正仿宋_GBK" w:cs="Times New Roman"/>
                <w:color w:val="000000"/>
                <w:kern w:val="0"/>
                <w:sz w:val="22"/>
              </w:rPr>
              <w:t>被保险人定额补偿</w:t>
            </w:r>
          </w:p>
        </w:tc>
        <w:tc>
          <w:tcPr>
            <w:tcW w:w="138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Times New Roman" w:hAnsi="Times New Roman" w:eastAsia="方正仿宋_GBK" w:cs="Times New Roman"/>
                <w:color w:val="000000"/>
                <w:sz w:val="22"/>
              </w:rPr>
            </w:pPr>
            <w:r>
              <w:rPr>
                <w:rFonts w:ascii="Times New Roman" w:hAnsi="Times New Roman" w:eastAsia="方正仿宋_GBK" w:cs="Times New Roman"/>
                <w:color w:val="000000"/>
                <w:sz w:val="22"/>
              </w:rPr>
              <w:t>1.对于首次确诊指定心理病种相关费用保障，年度最高支付限额1000元/人；</w:t>
            </w:r>
          </w:p>
        </w:tc>
        <w:tc>
          <w:tcPr>
            <w:tcW w:w="530"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指定</w:t>
            </w:r>
          </w:p>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心理病种补偿1000元；</w:t>
            </w:r>
          </w:p>
        </w:tc>
        <w:tc>
          <w:tcPr>
            <w:tcW w:w="512" w:type="pct"/>
            <w:vMerge w:val="restart"/>
            <w:tcBorders>
              <w:top w:val="single" w:color="auto" w:sz="4" w:space="0"/>
              <w:left w:val="nil"/>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w:t>
            </w:r>
          </w:p>
        </w:tc>
        <w:tc>
          <w:tcPr>
            <w:tcW w:w="565" w:type="pct"/>
            <w:vMerge w:val="restart"/>
            <w:tcBorders>
              <w:top w:val="single" w:color="auto" w:sz="4" w:space="0"/>
              <w:left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无起付线</w:t>
            </w:r>
          </w:p>
        </w:tc>
        <w:tc>
          <w:tcPr>
            <w:tcW w:w="594" w:type="pct"/>
            <w:vMerge w:val="restart"/>
            <w:tcBorders>
              <w:top w:val="single" w:color="auto" w:sz="4" w:space="0"/>
              <w:left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w:t>
            </w:r>
          </w:p>
        </w:tc>
        <w:tc>
          <w:tcPr>
            <w:tcW w:w="452" w:type="pct"/>
            <w:vMerge w:val="restart"/>
            <w:tcBorders>
              <w:top w:val="single" w:color="auto" w:sz="4" w:space="0"/>
              <w:left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首次</w:t>
            </w:r>
          </w:p>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确诊</w:t>
            </w:r>
          </w:p>
        </w:tc>
      </w:tr>
      <w:tr>
        <w:tblPrEx>
          <w:tblCellMar>
            <w:top w:w="0" w:type="dxa"/>
            <w:left w:w="108" w:type="dxa"/>
            <w:bottom w:w="0" w:type="dxa"/>
            <w:right w:w="108" w:type="dxa"/>
          </w:tblCellMar>
        </w:tblPrEx>
        <w:trPr>
          <w:trHeight w:val="2268" w:hRule="atLeast"/>
        </w:trPr>
        <w:tc>
          <w:tcPr>
            <w:tcW w:w="37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b/>
                <w:bCs/>
                <w:color w:val="000000"/>
                <w:kern w:val="0"/>
                <w:sz w:val="30"/>
                <w:szCs w:val="30"/>
              </w:rPr>
            </w:pPr>
          </w:p>
        </w:tc>
        <w:tc>
          <w:tcPr>
            <w:tcW w:w="58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p>
        </w:tc>
        <w:tc>
          <w:tcPr>
            <w:tcW w:w="138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Times New Roman" w:hAnsi="Times New Roman" w:eastAsia="方正仿宋_GBK" w:cs="Times New Roman"/>
                <w:b/>
                <w:bCs/>
                <w:color w:val="000000"/>
                <w:kern w:val="0"/>
                <w:sz w:val="22"/>
              </w:rPr>
            </w:pPr>
            <w:r>
              <w:rPr>
                <w:rFonts w:ascii="Times New Roman" w:hAnsi="Times New Roman" w:eastAsia="方正仿宋_GBK" w:cs="Times New Roman"/>
                <w:color w:val="000000"/>
                <w:sz w:val="22"/>
              </w:rPr>
              <w:t>2.重大疾病定额保障，在保障年度内首次确诊本项目产品规定的28种重大疾病的，一次性定额补偿2万元/人。</w:t>
            </w:r>
          </w:p>
        </w:tc>
        <w:tc>
          <w:tcPr>
            <w:tcW w:w="530" w:type="pct"/>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重大</w:t>
            </w:r>
          </w:p>
          <w:p>
            <w:pPr>
              <w:widowControl/>
              <w:spacing w:line="400" w:lineRule="exact"/>
              <w:jc w:val="center"/>
              <w:rPr>
                <w:rFonts w:ascii="Times New Roman" w:hAnsi="Times New Roman" w:eastAsia="方正仿宋_GBK" w:cs="Times New Roman"/>
                <w:color w:val="000000"/>
                <w:kern w:val="0"/>
                <w:sz w:val="22"/>
              </w:rPr>
            </w:pPr>
            <w:r>
              <w:rPr>
                <w:rFonts w:ascii="Times New Roman" w:hAnsi="Times New Roman" w:eastAsia="方正仿宋_GBK" w:cs="Times New Roman"/>
                <w:color w:val="000000"/>
                <w:kern w:val="0"/>
                <w:sz w:val="22"/>
              </w:rPr>
              <w:t>疾病补偿2万</w:t>
            </w:r>
          </w:p>
        </w:tc>
        <w:tc>
          <w:tcPr>
            <w:tcW w:w="512" w:type="pct"/>
            <w:vMerge w:val="continue"/>
            <w:tcBorders>
              <w:left w:val="nil"/>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p>
        </w:tc>
        <w:tc>
          <w:tcPr>
            <w:tcW w:w="565" w:type="pct"/>
            <w:vMerge w:val="continue"/>
            <w:tcBorders>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p>
        </w:tc>
        <w:tc>
          <w:tcPr>
            <w:tcW w:w="594" w:type="pct"/>
            <w:vMerge w:val="continue"/>
            <w:tcBorders>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p>
        </w:tc>
        <w:tc>
          <w:tcPr>
            <w:tcW w:w="452" w:type="pct"/>
            <w:vMerge w:val="continue"/>
            <w:tcBorders>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Times New Roman" w:hAnsi="Times New Roman" w:eastAsia="方正仿宋_GBK" w:cs="Times New Roman"/>
                <w:color w:val="000000"/>
                <w:kern w:val="0"/>
                <w:sz w:val="22"/>
              </w:rPr>
            </w:pPr>
          </w:p>
        </w:tc>
      </w:tr>
    </w:tbl>
    <w:p>
      <w:pPr>
        <w:spacing w:line="580" w:lineRule="exact"/>
        <w:rPr>
          <w:rFonts w:ascii="Times New Roman" w:hAnsi="Times New Roman" w:eastAsia="方正黑体_GBK" w:cs="Times New Roman"/>
          <w:sz w:val="30"/>
          <w:szCs w:val="30"/>
        </w:rPr>
      </w:pPr>
      <w:r>
        <w:rPr>
          <w:rFonts w:ascii="Times New Roman" w:hAnsi="Times New Roman" w:eastAsia="方正黑体_GBK" w:cs="Times New Roman"/>
          <w:sz w:val="30"/>
          <w:szCs w:val="30"/>
        </w:rPr>
        <w:t>附件</w:t>
      </w:r>
      <w:r>
        <w:rPr>
          <w:rFonts w:hint="eastAsia" w:ascii="Times New Roman" w:hAnsi="Times New Roman" w:eastAsia="方正黑体_GBK" w:cs="Times New Roman"/>
          <w:sz w:val="30"/>
          <w:szCs w:val="30"/>
          <w:lang w:val="en-US" w:eastAsia="zh-CN"/>
        </w:rPr>
        <w:t>-</w:t>
      </w:r>
      <w:r>
        <w:rPr>
          <w:rFonts w:ascii="Times New Roman" w:hAnsi="Times New Roman" w:eastAsia="方正黑体_GBK" w:cs="Times New Roman"/>
          <w:sz w:val="30"/>
          <w:szCs w:val="30"/>
        </w:rPr>
        <w:t>2</w:t>
      </w:r>
    </w:p>
    <w:p>
      <w:pPr>
        <w:adjustRightInd w:val="0"/>
        <w:snapToGrid w:val="0"/>
        <w:spacing w:line="580" w:lineRule="exact"/>
        <w:jc w:val="center"/>
        <w:rPr>
          <w:rFonts w:ascii="Times New Roman" w:hAnsi="Times New Roman" w:eastAsia="方正大标宋_GBK" w:cs="Times New Roman"/>
          <w:sz w:val="42"/>
          <w:szCs w:val="42"/>
        </w:rPr>
      </w:pPr>
      <w:r>
        <w:rPr>
          <w:rFonts w:ascii="Times New Roman" w:hAnsi="Times New Roman" w:eastAsia="方正大标宋_GBK" w:cs="Times New Roman"/>
          <w:sz w:val="42"/>
          <w:szCs w:val="42"/>
        </w:rPr>
        <w:t>“邑康保”健康管理的增值服务</w:t>
      </w:r>
    </w:p>
    <w:p>
      <w:pPr>
        <w:pStyle w:val="14"/>
        <w:spacing w:line="580" w:lineRule="exact"/>
        <w:ind w:firstLine="600"/>
        <w:rPr>
          <w:rFonts w:ascii="Times New Roman" w:hAnsi="Times New Roman" w:eastAsia="方正仿宋_GBK" w:cs="Times New Roman"/>
          <w:sz w:val="30"/>
          <w:szCs w:val="30"/>
        </w:rPr>
      </w:pPr>
      <w:bookmarkStart w:id="2" w:name="OLE_LINK2"/>
    </w:p>
    <w:p>
      <w:pPr>
        <w:pStyle w:val="14"/>
        <w:spacing w:line="580" w:lineRule="exact"/>
        <w:ind w:firstLine="600"/>
        <w:rPr>
          <w:rFonts w:ascii="Times New Roman" w:hAnsi="Times New Roman" w:eastAsia="方正仿宋_GBK" w:cs="Times New Roman"/>
          <w:sz w:val="30"/>
          <w:szCs w:val="30"/>
        </w:rPr>
      </w:pPr>
      <w:r>
        <w:rPr>
          <w:rFonts w:ascii="Times New Roman" w:hAnsi="Times New Roman" w:eastAsia="方正仿宋_GBK" w:cs="Times New Roman"/>
          <w:sz w:val="30"/>
          <w:szCs w:val="30"/>
        </w:rPr>
        <w:t>一、癌症早筛：参保人可根据自身健康状况选择检测</w:t>
      </w:r>
      <w:r>
        <w:rPr>
          <w:rFonts w:hint="eastAsia" w:ascii="Times New Roman" w:hAnsi="Times New Roman" w:eastAsia="方正仿宋_GBK" w:cs="Times New Roman"/>
          <w:sz w:val="30"/>
          <w:szCs w:val="30"/>
        </w:rPr>
        <w:t>：</w:t>
      </w:r>
      <w:r>
        <w:rPr>
          <w:rFonts w:ascii="Times New Roman" w:hAnsi="Times New Roman" w:eastAsia="方正仿宋_GBK" w:cs="Times New Roman"/>
          <w:sz w:val="30"/>
          <w:szCs w:val="30"/>
        </w:rPr>
        <w:t>胃肠健康检测</w:t>
      </w:r>
      <w:r>
        <w:rPr>
          <w:rFonts w:hint="eastAsia" w:ascii="Times New Roman" w:hAnsi="Times New Roman" w:eastAsia="方正仿宋_GBK" w:cs="Times New Roman"/>
          <w:sz w:val="30"/>
          <w:szCs w:val="30"/>
        </w:rPr>
        <w:t>，</w:t>
      </w:r>
      <w:r>
        <w:rPr>
          <w:rFonts w:ascii="Times New Roman" w:hAnsi="Times New Roman" w:eastAsia="方正仿宋_GBK" w:cs="Times New Roman"/>
          <w:sz w:val="30"/>
          <w:szCs w:val="30"/>
        </w:rPr>
        <w:t>男性肝肺健康筛查/女性肝肺健康筛查</w:t>
      </w:r>
      <w:r>
        <w:rPr>
          <w:rFonts w:hint="eastAsia" w:ascii="Times New Roman" w:hAnsi="Times New Roman" w:eastAsia="方正仿宋_GBK" w:cs="Times New Roman"/>
          <w:sz w:val="30"/>
          <w:szCs w:val="30"/>
        </w:rPr>
        <w:t>等。</w:t>
      </w:r>
    </w:p>
    <w:p>
      <w:pPr>
        <w:pStyle w:val="14"/>
        <w:spacing w:line="580" w:lineRule="exact"/>
        <w:ind w:firstLine="600"/>
        <w:rPr>
          <w:rFonts w:ascii="Times New Roman" w:hAnsi="Times New Roman" w:eastAsia="方正仿宋_GBK" w:cs="Times New Roman"/>
          <w:sz w:val="30"/>
          <w:szCs w:val="30"/>
        </w:rPr>
      </w:pPr>
      <w:r>
        <w:rPr>
          <w:rFonts w:ascii="Times New Roman" w:hAnsi="Times New Roman" w:eastAsia="方正仿宋_GBK" w:cs="Times New Roman"/>
          <w:sz w:val="30"/>
          <w:szCs w:val="30"/>
        </w:rPr>
        <w:t>经风险评估后，高风险人群可进一步获得基因甲基化深度检测、阳性保障及专业报告解读服务。</w:t>
      </w:r>
    </w:p>
    <w:p>
      <w:pPr>
        <w:pStyle w:val="14"/>
        <w:spacing w:line="580" w:lineRule="exact"/>
        <w:ind w:firstLine="600"/>
        <w:rPr>
          <w:rFonts w:ascii="Times New Roman" w:hAnsi="Times New Roman" w:eastAsia="方正仿宋_GBK" w:cs="Times New Roman"/>
          <w:sz w:val="30"/>
          <w:szCs w:val="30"/>
        </w:rPr>
      </w:pPr>
      <w:r>
        <w:rPr>
          <w:rFonts w:ascii="Times New Roman" w:hAnsi="Times New Roman" w:eastAsia="方正仿宋_GBK" w:cs="Times New Roman"/>
          <w:sz w:val="30"/>
          <w:szCs w:val="30"/>
        </w:rPr>
        <w:t>二、现场健康检测：为本项目健管服务的癌症早筛发现的高风险人群提供现场采血进行胃癌/肠癌甲基化检测、青少年慢性过敏源检测、60周岁以上参保人的慢性病基因检测（四选一：</w:t>
      </w:r>
      <w:r>
        <w:rPr>
          <w:rFonts w:hint="eastAsia" w:ascii="宋体" w:hAnsi="宋体" w:eastAsia="宋体" w:cs="宋体"/>
          <w:sz w:val="30"/>
          <w:szCs w:val="30"/>
        </w:rPr>
        <w:t>①</w:t>
      </w:r>
      <w:r>
        <w:rPr>
          <w:rFonts w:ascii="Times New Roman" w:hAnsi="Times New Roman" w:eastAsia="方正仿宋_GBK" w:cs="Times New Roman"/>
          <w:sz w:val="30"/>
          <w:szCs w:val="30"/>
        </w:rPr>
        <w:t>骨质疏松风险基因检测；</w:t>
      </w:r>
      <w:r>
        <w:rPr>
          <w:rFonts w:hint="eastAsia" w:ascii="宋体" w:hAnsi="宋体" w:eastAsia="宋体" w:cs="宋体"/>
          <w:sz w:val="30"/>
          <w:szCs w:val="30"/>
        </w:rPr>
        <w:t>②</w:t>
      </w:r>
      <w:r>
        <w:rPr>
          <w:rFonts w:ascii="Times New Roman" w:hAnsi="Times New Roman" w:eastAsia="方正仿宋_GBK" w:cs="Times New Roman"/>
          <w:sz w:val="30"/>
          <w:szCs w:val="30"/>
        </w:rPr>
        <w:t>2型糖尿病风险基因检测；</w:t>
      </w:r>
      <w:r>
        <w:rPr>
          <w:rFonts w:hint="eastAsia" w:ascii="宋体" w:hAnsi="宋体" w:eastAsia="宋体" w:cs="宋体"/>
          <w:sz w:val="30"/>
          <w:szCs w:val="30"/>
        </w:rPr>
        <w:t>③</w:t>
      </w:r>
      <w:r>
        <w:rPr>
          <w:rFonts w:ascii="Times New Roman" w:hAnsi="Times New Roman" w:eastAsia="方正仿宋_GBK" w:cs="Times New Roman"/>
          <w:sz w:val="30"/>
          <w:szCs w:val="30"/>
        </w:rPr>
        <w:t>卒中风险基因检测；</w:t>
      </w:r>
      <w:r>
        <w:rPr>
          <w:rFonts w:hint="eastAsia" w:ascii="宋体" w:hAnsi="宋体" w:eastAsia="宋体" w:cs="宋体"/>
          <w:sz w:val="30"/>
          <w:szCs w:val="30"/>
        </w:rPr>
        <w:t>④</w:t>
      </w:r>
      <w:r>
        <w:rPr>
          <w:rFonts w:ascii="Times New Roman" w:hAnsi="Times New Roman" w:eastAsia="方正仿宋_GBK" w:cs="Times New Roman"/>
          <w:sz w:val="30"/>
          <w:szCs w:val="30"/>
        </w:rPr>
        <w:t>冠心病风险基因检测）、女性宫颈癌风险筛查，并提供检测报告。</w:t>
      </w:r>
    </w:p>
    <w:p>
      <w:pPr>
        <w:pStyle w:val="14"/>
        <w:spacing w:line="580" w:lineRule="exact"/>
        <w:ind w:firstLine="600"/>
        <w:rPr>
          <w:rFonts w:ascii="Times New Roman" w:hAnsi="Times New Roman" w:eastAsia="方正仿宋_GBK" w:cs="Times New Roman"/>
          <w:sz w:val="30"/>
          <w:szCs w:val="30"/>
        </w:rPr>
      </w:pPr>
      <w:r>
        <w:rPr>
          <w:rFonts w:ascii="Times New Roman" w:hAnsi="Times New Roman" w:eastAsia="方正仿宋_GBK" w:cs="Times New Roman"/>
          <w:sz w:val="30"/>
          <w:szCs w:val="30"/>
        </w:rPr>
        <w:t>三、阿尔茨海默症早期自测：为50岁以上参保人提供阿尔茨海默症早期风险自测试剂盒，免费包邮到家，居家尿液自测。</w:t>
      </w:r>
    </w:p>
    <w:p>
      <w:pPr>
        <w:pStyle w:val="14"/>
        <w:spacing w:line="580" w:lineRule="exact"/>
        <w:ind w:firstLineChars="0"/>
        <w:rPr>
          <w:rFonts w:ascii="Times New Roman" w:hAnsi="Times New Roman" w:eastAsia="方正仿宋_GBK" w:cs="Times New Roman"/>
          <w:sz w:val="30"/>
          <w:szCs w:val="30"/>
        </w:rPr>
      </w:pPr>
      <w:r>
        <w:rPr>
          <w:rFonts w:ascii="Times New Roman" w:hAnsi="Times New Roman" w:eastAsia="方正仿宋_GBK" w:cs="Times New Roman"/>
          <w:sz w:val="30"/>
          <w:szCs w:val="30"/>
        </w:rPr>
        <w:t>四、青少年过敏源检测：提供过敏源检测及检测结果报告</w:t>
      </w:r>
      <w:r>
        <w:rPr>
          <w:rFonts w:hint="eastAsia" w:ascii="Times New Roman" w:hAnsi="Times New Roman" w:eastAsia="方正仿宋_GBK" w:cs="Times New Roman"/>
          <w:sz w:val="30"/>
          <w:szCs w:val="30"/>
        </w:rPr>
        <w:t>。</w:t>
      </w:r>
    </w:p>
    <w:p>
      <w:pPr>
        <w:pStyle w:val="14"/>
        <w:spacing w:line="580" w:lineRule="exact"/>
        <w:ind w:firstLine="600"/>
        <w:rPr>
          <w:rFonts w:ascii="Times New Roman" w:hAnsi="Times New Roman" w:eastAsia="方正仿宋_GBK" w:cs="Times New Roman"/>
          <w:sz w:val="30"/>
          <w:szCs w:val="30"/>
        </w:rPr>
      </w:pPr>
      <w:r>
        <w:rPr>
          <w:rFonts w:ascii="Times New Roman" w:hAnsi="Times New Roman" w:eastAsia="方正仿宋_GBK" w:cs="Times New Roman"/>
          <w:sz w:val="30"/>
          <w:szCs w:val="30"/>
        </w:rPr>
        <w:t>五、院外医疗护理：针对罹患符合重疾标准的参保人，治疗出院后，提供社区医院医生/护士的医疗护理服务。</w:t>
      </w:r>
    </w:p>
    <w:p>
      <w:pPr>
        <w:pStyle w:val="14"/>
        <w:spacing w:line="580" w:lineRule="exact"/>
        <w:ind w:firstLineChars="0"/>
        <w:rPr>
          <w:rFonts w:ascii="Times New Roman" w:hAnsi="Times New Roman" w:eastAsia="方正仿宋_GBK" w:cs="Times New Roman"/>
          <w:sz w:val="30"/>
          <w:szCs w:val="30"/>
        </w:rPr>
      </w:pPr>
      <w:r>
        <w:rPr>
          <w:rFonts w:ascii="Times New Roman" w:hAnsi="Times New Roman" w:eastAsia="方正仿宋_GBK" w:cs="Times New Roman"/>
          <w:sz w:val="30"/>
          <w:szCs w:val="30"/>
        </w:rPr>
        <w:t>六、购药优惠及找药服务：对接江门市线下药房，为邑康保参保人提供购药优惠。为有特殊用药需求的参保人，协助查询全球范围内创新药、罕见病用药、进口药的信息及合规购买渠道，提供专业药师用药指导及跨境购药解决方案。</w:t>
      </w:r>
    </w:p>
    <w:p>
      <w:pPr>
        <w:pStyle w:val="14"/>
        <w:spacing w:line="580" w:lineRule="exact"/>
        <w:ind w:firstLine="0" w:firstLineChars="0"/>
        <w:rPr>
          <w:rFonts w:ascii="Times New Roman" w:hAnsi="Times New Roman" w:eastAsia="方正仿宋_GBK" w:cs="Times New Roman"/>
          <w:sz w:val="30"/>
          <w:szCs w:val="30"/>
        </w:rPr>
      </w:pPr>
      <w:r>
        <w:rPr>
          <w:rFonts w:ascii="Times New Roman" w:hAnsi="Times New Roman" w:eastAsia="方正仿宋_GBK" w:cs="Times New Roman"/>
          <w:sz w:val="30"/>
          <w:szCs w:val="30"/>
        </w:rPr>
        <w:t>七、眼科服务：眼科健康建档×1次、远近视力检查×1次、眼底检查×1次、眼压检查×1次</w:t>
      </w:r>
      <w:r>
        <w:rPr>
          <w:rFonts w:hint="eastAsia" w:ascii="Times New Roman" w:hAnsi="Times New Roman" w:eastAsia="方正仿宋_GBK" w:cs="Times New Roman"/>
          <w:sz w:val="30"/>
          <w:szCs w:val="30"/>
        </w:rPr>
        <w:t>，以及青少年和老年人特色项目；同时享受配镜折扣优惠服务。</w:t>
      </w:r>
    </w:p>
    <w:p>
      <w:pPr>
        <w:pStyle w:val="14"/>
        <w:spacing w:line="580" w:lineRule="exact"/>
        <w:ind w:firstLineChars="0"/>
        <w:rPr>
          <w:rFonts w:ascii="Times New Roman" w:hAnsi="Times New Roman" w:eastAsia="方正仿宋_GBK" w:cs="Times New Roman"/>
          <w:sz w:val="30"/>
          <w:szCs w:val="30"/>
        </w:rPr>
      </w:pPr>
      <w:r>
        <w:rPr>
          <w:rFonts w:ascii="Times New Roman" w:hAnsi="Times New Roman" w:eastAsia="方正仿宋_GBK" w:cs="Times New Roman"/>
          <w:sz w:val="30"/>
          <w:szCs w:val="30"/>
        </w:rPr>
        <w:t>八、口腔健康：成人口腔洁牙服务或儿童口腔涂氟，加齿科治疗</w:t>
      </w:r>
      <w:r>
        <w:rPr>
          <w:rFonts w:hint="eastAsia" w:ascii="Times New Roman" w:hAnsi="Times New Roman" w:eastAsia="方正仿宋_GBK" w:cs="Times New Roman"/>
          <w:sz w:val="30"/>
          <w:szCs w:val="30"/>
        </w:rPr>
        <w:t>折扣</w:t>
      </w:r>
      <w:r>
        <w:rPr>
          <w:rFonts w:ascii="Times New Roman" w:hAnsi="Times New Roman" w:eastAsia="方正仿宋_GBK" w:cs="Times New Roman"/>
          <w:sz w:val="30"/>
          <w:szCs w:val="30"/>
        </w:rPr>
        <w:t>优惠。</w:t>
      </w:r>
    </w:p>
    <w:p>
      <w:pPr>
        <w:pStyle w:val="14"/>
        <w:spacing w:line="580" w:lineRule="exact"/>
        <w:ind w:firstLineChars="0"/>
        <w:rPr>
          <w:rFonts w:ascii="Times New Roman" w:hAnsi="Times New Roman" w:eastAsia="方正仿宋_GBK" w:cs="Times New Roman"/>
          <w:sz w:val="30"/>
          <w:szCs w:val="30"/>
        </w:rPr>
      </w:pPr>
      <w:r>
        <w:rPr>
          <w:rFonts w:ascii="Times New Roman" w:hAnsi="Times New Roman" w:eastAsia="方正仿宋_GBK" w:cs="Times New Roman"/>
          <w:sz w:val="30"/>
          <w:szCs w:val="30"/>
        </w:rPr>
        <w:t>九、中医贴敷：中医养生贴敷，通过中药外治法，应用中草药制剂，施于皮肤、孔窍、俞穴及病变局部等部位的养生治病方法。保单期内为参保人</w:t>
      </w:r>
      <w:r>
        <w:rPr>
          <w:rFonts w:hint="eastAsia" w:ascii="Times New Roman" w:hAnsi="Times New Roman" w:eastAsia="方正仿宋_GBK" w:cs="Times New Roman"/>
          <w:sz w:val="30"/>
          <w:szCs w:val="30"/>
        </w:rPr>
        <w:t>免费领取</w:t>
      </w:r>
      <w:r>
        <w:rPr>
          <w:rFonts w:ascii="Times New Roman" w:hAnsi="Times New Roman" w:eastAsia="方正仿宋_GBK" w:cs="Times New Roman"/>
          <w:sz w:val="30"/>
          <w:szCs w:val="30"/>
        </w:rPr>
        <w:t>贴敷</w:t>
      </w:r>
      <w:r>
        <w:rPr>
          <w:rFonts w:hint="eastAsia" w:ascii="Times New Roman" w:hAnsi="Times New Roman" w:eastAsia="方正仿宋_GBK" w:cs="Times New Roman"/>
          <w:sz w:val="30"/>
          <w:szCs w:val="30"/>
        </w:rPr>
        <w:t>，包邮到家</w:t>
      </w:r>
      <w:r>
        <w:rPr>
          <w:rFonts w:ascii="Times New Roman" w:hAnsi="Times New Roman" w:eastAsia="方正仿宋_GBK" w:cs="Times New Roman"/>
          <w:sz w:val="30"/>
          <w:szCs w:val="30"/>
        </w:rPr>
        <w:t>。</w:t>
      </w:r>
    </w:p>
    <w:p>
      <w:pPr>
        <w:pStyle w:val="14"/>
        <w:spacing w:line="580" w:lineRule="exact"/>
        <w:ind w:firstLineChars="0"/>
        <w:rPr>
          <w:rFonts w:ascii="Times New Roman" w:hAnsi="Times New Roman" w:eastAsia="方正仿宋_GBK" w:cs="Times New Roman"/>
          <w:sz w:val="30"/>
          <w:szCs w:val="30"/>
        </w:rPr>
      </w:pPr>
      <w:r>
        <w:rPr>
          <w:rFonts w:ascii="Times New Roman" w:hAnsi="Times New Roman" w:eastAsia="方正仿宋_GBK" w:cs="Times New Roman"/>
          <w:sz w:val="30"/>
          <w:szCs w:val="30"/>
        </w:rPr>
        <w:t>十、在线健康评测：为参保人提供在线中医体质辨识测评及睡眠测试，通过区分用户体质（气虚质/阳虚质等），针对性给出饮食、运动、起居、茶饮以及情绪方面的日常建议。</w:t>
      </w:r>
    </w:p>
    <w:p>
      <w:pPr>
        <w:pStyle w:val="14"/>
        <w:spacing w:line="580" w:lineRule="exact"/>
        <w:ind w:firstLineChars="0"/>
        <w:rPr>
          <w:rFonts w:ascii="Times New Roman" w:hAnsi="Times New Roman" w:eastAsia="方正仿宋_GBK" w:cs="Times New Roman"/>
          <w:sz w:val="30"/>
          <w:szCs w:val="30"/>
        </w:rPr>
      </w:pPr>
      <w:r>
        <w:rPr>
          <w:rFonts w:ascii="Times New Roman" w:hAnsi="Times New Roman" w:eastAsia="方正仿宋_GBK" w:cs="Times New Roman"/>
          <w:sz w:val="30"/>
          <w:szCs w:val="30"/>
        </w:rPr>
        <w:t>十一、健康咨询及宣教：为参保人提供一对一在线疾病咨询。日常及疾病用药指导。</w:t>
      </w:r>
      <w:r>
        <w:rPr>
          <w:rFonts w:hint="eastAsia" w:ascii="Times New Roman" w:hAnsi="Times New Roman" w:eastAsia="方正仿宋_GBK" w:cs="Times New Roman"/>
          <w:sz w:val="30"/>
          <w:szCs w:val="30"/>
        </w:rPr>
        <w:t>同时提供</w:t>
      </w:r>
      <w:r>
        <w:rPr>
          <w:rFonts w:ascii="Times New Roman" w:hAnsi="Times New Roman" w:eastAsia="方正仿宋_GBK" w:cs="Times New Roman"/>
          <w:sz w:val="30"/>
          <w:szCs w:val="30"/>
        </w:rPr>
        <w:t>7*24小时专业心理咨询健康服务。</w:t>
      </w:r>
    </w:p>
    <w:p>
      <w:pPr>
        <w:pStyle w:val="14"/>
        <w:spacing w:line="580" w:lineRule="exact"/>
        <w:ind w:firstLineChars="0"/>
        <w:rPr>
          <w:rFonts w:ascii="Times New Roman" w:hAnsi="Times New Roman" w:eastAsia="方正仿宋_GBK" w:cs="Times New Roman"/>
          <w:sz w:val="30"/>
          <w:szCs w:val="30"/>
        </w:rPr>
      </w:pPr>
      <w:r>
        <w:rPr>
          <w:rFonts w:ascii="Times New Roman" w:hAnsi="Times New Roman" w:eastAsia="方正仿宋_GBK" w:cs="Times New Roman"/>
          <w:sz w:val="30"/>
          <w:szCs w:val="30"/>
        </w:rPr>
        <w:t>十二、健康宣传：邑康保公众号发送健康宣教类的科普文章，形式包括图文/漫画/动画等，发送频率为一月一篇。</w:t>
      </w:r>
    </w:p>
    <w:p>
      <w:pPr>
        <w:pStyle w:val="14"/>
        <w:spacing w:line="580" w:lineRule="exact"/>
        <w:ind w:firstLineChars="0"/>
        <w:rPr>
          <w:rFonts w:ascii="Times New Roman" w:hAnsi="Times New Roman" w:eastAsia="方正仿宋_GBK" w:cs="Times New Roman"/>
          <w:sz w:val="30"/>
          <w:szCs w:val="30"/>
        </w:rPr>
      </w:pPr>
      <w:r>
        <w:rPr>
          <w:rFonts w:hint="eastAsia" w:ascii="Times New Roman" w:hAnsi="Times New Roman" w:eastAsia="方正仿宋_GBK" w:cs="Times New Roman"/>
          <w:sz w:val="30"/>
          <w:szCs w:val="30"/>
        </w:rPr>
        <w:t>具体内容请关注邑康保公众号了解详情。”</w:t>
      </w:r>
    </w:p>
    <w:p>
      <w:pPr>
        <w:pStyle w:val="14"/>
        <w:spacing w:line="580" w:lineRule="exact"/>
        <w:ind w:firstLineChars="0"/>
        <w:rPr>
          <w:rFonts w:ascii="Times New Roman" w:hAnsi="Times New Roman" w:eastAsia="方正仿宋_GBK" w:cs="Times New Roman"/>
          <w:sz w:val="30"/>
          <w:szCs w:val="30"/>
        </w:rPr>
      </w:pPr>
    </w:p>
    <w:bookmarkEnd w:id="2"/>
    <w:p>
      <w:pPr>
        <w:rPr>
          <w:rFonts w:ascii="Times New Roman" w:hAnsi="Times New Roman" w:eastAsia="方正仿宋_GBK" w:cs="Times New Roman"/>
          <w:sz w:val="30"/>
          <w:szCs w:val="30"/>
        </w:rPr>
      </w:pPr>
      <w:r>
        <w:rPr>
          <w:rFonts w:ascii="Times New Roman" w:hAnsi="Times New Roman" w:eastAsia="方正仿宋_GBK" w:cs="Times New Roman"/>
          <w:sz w:val="30"/>
          <w:szCs w:val="30"/>
        </w:rPr>
        <w:br w:type="page"/>
      </w:r>
    </w:p>
    <w:p>
      <w:pPr>
        <w:spacing w:line="580" w:lineRule="exact"/>
        <w:rPr>
          <w:rFonts w:ascii="Times New Roman" w:hAnsi="Times New Roman" w:eastAsia="方正黑体_GBK" w:cs="Times New Roman"/>
          <w:sz w:val="30"/>
          <w:szCs w:val="30"/>
        </w:rPr>
      </w:pPr>
      <w:r>
        <w:rPr>
          <w:rFonts w:ascii="Times New Roman" w:hAnsi="Times New Roman" w:eastAsia="方正黑体_GBK" w:cs="Times New Roman"/>
          <w:sz w:val="30"/>
          <w:szCs w:val="30"/>
        </w:rPr>
        <w:t>附件</w:t>
      </w:r>
      <w:r>
        <w:rPr>
          <w:rFonts w:hint="eastAsia" w:ascii="Times New Roman" w:hAnsi="Times New Roman" w:eastAsia="方正黑体_GBK" w:cs="Times New Roman"/>
          <w:sz w:val="30"/>
          <w:szCs w:val="30"/>
          <w:lang w:val="en-US" w:eastAsia="zh-CN"/>
        </w:rPr>
        <w:t>-</w:t>
      </w:r>
      <w:bookmarkStart w:id="3" w:name="_GoBack"/>
      <w:bookmarkEnd w:id="3"/>
      <w:r>
        <w:rPr>
          <w:rFonts w:ascii="Times New Roman" w:hAnsi="Times New Roman" w:eastAsia="方正黑体_GBK" w:cs="Times New Roman"/>
          <w:sz w:val="30"/>
          <w:szCs w:val="30"/>
        </w:rPr>
        <w:t>3</w:t>
      </w:r>
    </w:p>
    <w:p>
      <w:pPr>
        <w:adjustRightInd w:val="0"/>
        <w:snapToGrid w:val="0"/>
        <w:spacing w:line="580" w:lineRule="exact"/>
        <w:jc w:val="center"/>
        <w:rPr>
          <w:rFonts w:ascii="Times New Roman" w:hAnsi="Times New Roman" w:eastAsia="方正仿宋_GBK" w:cs="Times New Roman"/>
          <w:sz w:val="30"/>
          <w:szCs w:val="30"/>
        </w:rPr>
      </w:pPr>
      <w:r>
        <w:rPr>
          <w:rFonts w:ascii="Times New Roman" w:hAnsi="Times New Roman" w:eastAsia="方正大标宋_GBK" w:cs="Times New Roman"/>
          <w:sz w:val="42"/>
          <w:szCs w:val="42"/>
        </w:rPr>
        <w:t>“邑康保”公众号二维码</w:t>
      </w:r>
      <w:r>
        <w:rPr>
          <w:rFonts w:ascii="Times New Roman" w:hAnsi="Times New Roman" w:eastAsia="方正仿宋_GBK" w:cs="Times New Roman"/>
          <w:sz w:val="30"/>
          <w:szCs w:val="30"/>
        </w:rPr>
        <w:drawing>
          <wp:anchor distT="0" distB="0" distL="114300" distR="114300" simplePos="0" relativeHeight="251659264" behindDoc="0" locked="0" layoutInCell="1" allowOverlap="1">
            <wp:simplePos x="0" y="0"/>
            <wp:positionH relativeFrom="column">
              <wp:posOffset>1000125</wp:posOffset>
            </wp:positionH>
            <wp:positionV relativeFrom="paragraph">
              <wp:posOffset>1095375</wp:posOffset>
            </wp:positionV>
            <wp:extent cx="3276600" cy="3276600"/>
            <wp:effectExtent l="0" t="0" r="0" b="0"/>
            <wp:wrapNone/>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4">
                      <a:extLst>
                        <a:ext uri="{28A0092B-C50C-407E-A947-70E740481C1C}">
                          <a14:useLocalDpi xmlns:a14="http://schemas.microsoft.com/office/drawing/2010/main" val="false"/>
                        </a:ext>
                      </a:extLst>
                    </a:blip>
                    <a:stretch>
                      <a:fillRect/>
                    </a:stretch>
                  </pic:blipFill>
                  <pic:spPr>
                    <a:xfrm>
                      <a:off x="0" y="0"/>
                      <a:ext cx="3276600" cy="3276600"/>
                    </a:xfrm>
                    <a:prstGeom prst="rect">
                      <a:avLst/>
                    </a:prstGeom>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大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国标宋体">
    <w:panose1 w:val="02000500000000000000"/>
    <w:charset w:val="86"/>
    <w:family w:val="auto"/>
    <w:pitch w:val="default"/>
    <w:sig w:usb0="00000001" w:usb1="28000000" w:usb2="00000000" w:usb3="00000000" w:csb0="00060007"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hODQyMzllMzM0MjNmZDVmNmMyMmE1YTUxMzk2Y2IifQ=="/>
    <w:docVar w:name="KGWebUrl" w:val="http://19.121.241.45/seeyon/officeservlet"/>
  </w:docVars>
  <w:rsids>
    <w:rsidRoot w:val="001275A3"/>
    <w:rsid w:val="000622D8"/>
    <w:rsid w:val="001275A3"/>
    <w:rsid w:val="001470F0"/>
    <w:rsid w:val="00170940"/>
    <w:rsid w:val="001A7ED1"/>
    <w:rsid w:val="001B2921"/>
    <w:rsid w:val="00251B09"/>
    <w:rsid w:val="002C5D57"/>
    <w:rsid w:val="0036314B"/>
    <w:rsid w:val="003D3C7A"/>
    <w:rsid w:val="00437E4A"/>
    <w:rsid w:val="004836C2"/>
    <w:rsid w:val="004A0819"/>
    <w:rsid w:val="00556427"/>
    <w:rsid w:val="00597235"/>
    <w:rsid w:val="005D34BC"/>
    <w:rsid w:val="00607924"/>
    <w:rsid w:val="00644BC4"/>
    <w:rsid w:val="006D744F"/>
    <w:rsid w:val="007B0859"/>
    <w:rsid w:val="00803003"/>
    <w:rsid w:val="00841F04"/>
    <w:rsid w:val="00844709"/>
    <w:rsid w:val="008469C5"/>
    <w:rsid w:val="00853A98"/>
    <w:rsid w:val="008F0286"/>
    <w:rsid w:val="009B0BA5"/>
    <w:rsid w:val="009E1866"/>
    <w:rsid w:val="00A717AA"/>
    <w:rsid w:val="00B1422C"/>
    <w:rsid w:val="00B37BAE"/>
    <w:rsid w:val="00B84D10"/>
    <w:rsid w:val="00C933F2"/>
    <w:rsid w:val="00DB192B"/>
    <w:rsid w:val="00E1243F"/>
    <w:rsid w:val="00E7102A"/>
    <w:rsid w:val="00E922FA"/>
    <w:rsid w:val="00EB0746"/>
    <w:rsid w:val="00ED638B"/>
    <w:rsid w:val="00F14F63"/>
    <w:rsid w:val="00F23F0B"/>
    <w:rsid w:val="00F743BF"/>
    <w:rsid w:val="00FC72A5"/>
    <w:rsid w:val="024C4D2E"/>
    <w:rsid w:val="0D5E13BF"/>
    <w:rsid w:val="14511862"/>
    <w:rsid w:val="158841C5"/>
    <w:rsid w:val="19D33F9B"/>
    <w:rsid w:val="1DB71740"/>
    <w:rsid w:val="274C2B57"/>
    <w:rsid w:val="2B966230"/>
    <w:rsid w:val="2CFA146F"/>
    <w:rsid w:val="2F2B1BEC"/>
    <w:rsid w:val="2F305748"/>
    <w:rsid w:val="3096226F"/>
    <w:rsid w:val="31307046"/>
    <w:rsid w:val="339E5D33"/>
    <w:rsid w:val="343D3CD2"/>
    <w:rsid w:val="366C4FC4"/>
    <w:rsid w:val="3B980E56"/>
    <w:rsid w:val="3E9E6078"/>
    <w:rsid w:val="3F9D67AC"/>
    <w:rsid w:val="40384169"/>
    <w:rsid w:val="42415557"/>
    <w:rsid w:val="4374370A"/>
    <w:rsid w:val="461F4717"/>
    <w:rsid w:val="46685E10"/>
    <w:rsid w:val="4D804BB7"/>
    <w:rsid w:val="4DAF1EF8"/>
    <w:rsid w:val="4F6B0DA8"/>
    <w:rsid w:val="595E17BF"/>
    <w:rsid w:val="5A9A7C44"/>
    <w:rsid w:val="5B95653E"/>
    <w:rsid w:val="5BFF499E"/>
    <w:rsid w:val="5DA659B4"/>
    <w:rsid w:val="64030466"/>
    <w:rsid w:val="64FB6A03"/>
    <w:rsid w:val="6AA67D9D"/>
    <w:rsid w:val="6C830396"/>
    <w:rsid w:val="6CED1CB3"/>
    <w:rsid w:val="713003C1"/>
    <w:rsid w:val="761A14B8"/>
    <w:rsid w:val="77ABA6F1"/>
    <w:rsid w:val="78C435B8"/>
    <w:rsid w:val="79195463"/>
    <w:rsid w:val="7A586B65"/>
    <w:rsid w:val="7DFCABAC"/>
    <w:rsid w:val="7E7C65CF"/>
    <w:rsid w:val="7F4A4724"/>
    <w:rsid w:val="7F7F10B6"/>
    <w:rsid w:val="B7FBF037"/>
    <w:rsid w:val="BADF3999"/>
    <w:rsid w:val="EDFCBB48"/>
    <w:rsid w:val="FD7C19B6"/>
    <w:rsid w:val="FDBD4546"/>
    <w:rsid w:val="FDEEF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120"/>
      <w:ind w:left="420" w:leftChars="200" w:firstLine="420" w:firstLineChars="200"/>
    </w:pPr>
    <w:rPr>
      <w:rFonts w:ascii="Times New Roman" w:hAnsi="Times New Roman" w:eastAsia="宋体" w:cs="Times New Roman"/>
      <w:sz w:val="30"/>
    </w:rPr>
  </w:style>
  <w:style w:type="paragraph" w:styleId="3">
    <w:name w:val="Body Text Indent"/>
    <w:basedOn w:val="1"/>
    <w:unhideWhenUsed/>
    <w:qFormat/>
    <w:uiPriority w:val="99"/>
    <w:pPr>
      <w:ind w:firstLine="630"/>
    </w:pPr>
    <w:rPr>
      <w:sz w:val="32"/>
    </w:rPr>
  </w:style>
  <w:style w:type="paragraph" w:styleId="4">
    <w:name w:val="Body Text"/>
    <w:basedOn w:val="1"/>
    <w:link w:val="13"/>
    <w:semiHidden/>
    <w:qFormat/>
    <w:uiPriority w:val="0"/>
    <w:rPr>
      <w:rFonts w:ascii="宋体" w:hAnsi="宋体" w:eastAsia="宋体" w:cs="宋体"/>
      <w:sz w:val="28"/>
      <w:szCs w:val="28"/>
      <w:lang w:eastAsia="en-US"/>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character" w:customStyle="1" w:styleId="13">
    <w:name w:val="正文文本 Char"/>
    <w:basedOn w:val="10"/>
    <w:link w:val="4"/>
    <w:semiHidden/>
    <w:qFormat/>
    <w:uiPriority w:val="0"/>
    <w:rPr>
      <w:rFonts w:ascii="宋体" w:hAnsi="宋体" w:eastAsia="宋体" w:cs="宋体"/>
      <w:sz w:val="28"/>
      <w:szCs w:val="28"/>
      <w:lang w:eastAsia="en-US"/>
    </w:rPr>
  </w:style>
  <w:style w:type="paragraph" w:styleId="14">
    <w:name w:val="List Paragraph"/>
    <w:basedOn w:val="1"/>
    <w:qFormat/>
    <w:uiPriority w:val="34"/>
    <w:pPr>
      <w:ind w:firstLine="420" w:firstLineChars="200"/>
    </w:pPr>
    <w:rPr>
      <w:szCs w:val="24"/>
    </w:rPr>
  </w:style>
  <w:style w:type="character" w:customStyle="1" w:styleId="15">
    <w:name w:val="批注框文本 Char"/>
    <w:basedOn w:val="10"/>
    <w:link w:val="5"/>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496</Words>
  <Characters>2829</Characters>
  <Lines>23</Lines>
  <Paragraphs>6</Paragraphs>
  <TotalTime>6</TotalTime>
  <ScaleCrop>false</ScaleCrop>
  <LinksUpToDate>false</LinksUpToDate>
  <CharactersWithSpaces>3319</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2026-09-18T11:53:00Z</dcterms:created>
  <dc:creator>JM</dc:creator>
  <cp:lastModifiedBy>greatwall</cp:lastModifiedBy>
  <dcterms:modified xsi:type="dcterms:W3CDTF">2026-10-09T17:05:41Z</dcterms:modified>
  <dc:title>2026年度江门市医养结合补充保险</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469A2EB715599E17076BBB6AA4074293_43</vt:lpwstr>
  </property>
  <property fmtid="{D5CDD505-2E9C-101B-9397-08002B2CF9AE}" pid="4" name="KSOTemplateDocerSaveRecord">
    <vt:lpwstr>eyJoZGlkIjoiYTZmM2M2NmQwY2RjYjY5ZmM4ZDZjMjgwMTY2NWFjMzUiLCJ1c2VySWQiOiIxMTQ5MjIxNTM0In0=</vt:lpwstr>
  </property>
</Properties>
</file>