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5F1598">
      <w:pPr>
        <w:ind w:firstLine="120" w:firstLineChars="50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-89535</wp:posOffset>
                </wp:positionH>
                <wp:positionV relativeFrom="paragraph">
                  <wp:posOffset>795020</wp:posOffset>
                </wp:positionV>
                <wp:extent cx="5779770" cy="8059420"/>
                <wp:effectExtent l="0" t="0" r="11430" b="36830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9770" cy="8059420"/>
                          <a:chOff x="9005" y="2807"/>
                          <a:chExt cx="9102" cy="12667"/>
                        </a:xfrm>
                      </wpg:grpSpPr>
                      <wpg:grpSp>
                        <wpg:cNvPr id="4" name="组合 4"/>
                        <wpg:cNvGrpSpPr/>
                        <wpg:grpSpPr>
                          <a:xfrm>
                            <a:off x="9005" y="2807"/>
                            <a:ext cx="9102" cy="77"/>
                            <a:chOff x="1667" y="2807"/>
                            <a:chExt cx="9102" cy="77"/>
                          </a:xfrm>
                        </wpg:grpSpPr>
                        <wps:wsp>
                          <wps:cNvPr id="1" name="直接连接符 1"/>
                          <wps:cNvCnPr/>
                          <wps:spPr>
                            <a:xfrm flipV="1">
                              <a:off x="1667" y="2807"/>
                              <a:ext cx="9102" cy="8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rgbClr val="FF0000"/>
                              </a:solidFill>
                              <a:miter lim="800000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" name="直接连接符 5"/>
                          <wps:cNvCnPr/>
                          <wps:spPr>
                            <a:xfrm flipV="1">
                              <a:off x="1669" y="2880"/>
                              <a:ext cx="9099" cy="4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FF0000"/>
                              </a:solidFill>
                              <a:miter lim="800000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" name="组合 2"/>
                        <wpg:cNvGrpSpPr/>
                        <wpg:grpSpPr>
                          <a:xfrm>
                            <a:off x="9005" y="15384"/>
                            <a:ext cx="9102" cy="91"/>
                            <a:chOff x="0" y="0"/>
                            <a:chExt cx="5672455" cy="55880"/>
                          </a:xfrm>
                        </wpg:grpSpPr>
                        <wps:wsp>
                          <wps:cNvPr id="6" name="直接连接符 6"/>
                          <wps:cNvCnPr/>
                          <wps:spPr>
                            <a:xfrm flipV="1">
                              <a:off x="0" y="50800"/>
                              <a:ext cx="5672455" cy="508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rgbClr val="FF0000"/>
                              </a:solidFill>
                              <a:miter lim="800000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" name="直接连接符 7"/>
                          <wps:cNvCnPr/>
                          <wps:spPr>
                            <a:xfrm flipV="1">
                              <a:off x="0" y="0"/>
                              <a:ext cx="5671185" cy="381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FF0000"/>
                              </a:solidFill>
                              <a:miter lim="800000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.05pt;margin-top:62.6pt;height:634.6pt;width:455.1pt;z-index:251659264;mso-width-relative:page;mso-height-relative:page;" coordorigin="9005,2807" coordsize="9102,12667" o:gfxdata="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">
                <o:lock v:ext="edit" aspectratio="f"/>
                <v:group id="_x0000_s1026" o:spid="_x0000_s1026" o:spt="203" style="position:absolute;left:9005;top:2807;height:77;width:9102;" coordorigin="1667,2807" coordsize="9102,77" o:gfxdata="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Bu+7OC+AAAA2gAAAA8AAAAAAAAAAQAgAAAAIgAAAGRycy9kb3ducmV2Lnht&#10;bFBLAQIUABQAAAAIAIdO4kAzLwWeOwAAADkAAAAVAAAAAAAAAAEAIAAAAA0BAABkcnMvZ3JvdXBz&#10;aGFwZXhtbC54bWxQSwUGAAAAAAYABgBgAQAAygMAAAAA&#10;">
                  <o:lock v:ext="edit" aspectratio="f"/>
                  <v:line id="_x0000_s1026" o:spid="_x0000_s1026" o:spt="20" style="position:absolute;left:1667;top:2807;flip:y;height:8;width:9102;" filled="f" stroked="t" coordsize="21600,21600" o:gfxdata="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qZ+Ci5AAAA2gAA&#10;AA8AAAAAAAAAAQAgAAAAIgAAAGRycy9kb3ducmV2LnhtbFBLAQIUABQAAAAIAIdO4kAzLwWeOwAA&#10;ADkAAAAQAAAAAAAAAAEAIAAAAAgBAABkcnMvc2hhcGV4bWwueG1sUEsFBgAAAAAGAAYAWwEAALID&#10;AAAAAA==&#10;">
                    <v:fill on="f" focussize="0,0"/>
                    <v:stroke weight="3pt" color="#FF0000 [3204]" miterlimit="8" joinstyle="miter"/>
                    <v:imagedata o:title=""/>
                    <o:lock v:ext="edit" aspectratio="f"/>
                  </v:line>
                  <v:line id="_x0000_s1026" o:spid="_x0000_s1026" o:spt="20" style="position:absolute;left:1669;top:2880;flip:y;height:4;width:9099;" filled="f" stroked="t" coordsize="21600,21600" o:gfxdata="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2g5DG8AAAA&#10;2gAAAA8AAAAAAAAAAQAgAAAAIgAAAGRycy9kb3ducmV2LnhtbFBLAQIUABQAAAAIAIdO4kAzLwWe&#10;OwAAADkAAAAQAAAAAAAAAAEAIAAAAAsBAABkcnMvc2hhcGV4bWwueG1sUEsFBgAAAAAGAAYAWwEA&#10;ALUDAAAAAA==&#10;">
                    <v:fill on="f" focussize="0,0"/>
                    <v:stroke weight="1.5pt" color="#FF0000 [3204]" miterlimit="8" joinstyle="miter"/>
                    <v:imagedata o:title=""/>
                    <o:lock v:ext="edit" aspectratio="f"/>
                  </v:line>
                </v:group>
                <v:group id="_x0000_s1026" o:spid="_x0000_s1026" o:spt="203" style="position:absolute;left:9005;top:15384;height:91;width:9102;" coordsize="5672455,55880" o:gfxdata="UEsDBAoAAAAAAIdO4kAAAAAAAAAAAAAAAAAEAAAAZHJzL1BLAwQUAAAACACHTuJA+xvRD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P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Psb0Q+7AAAA2gAAAA8AAAAAAAAAAQAgAAAAIgAAAGRycy9kb3ducmV2LnhtbFBL&#10;AQIUABQAAAAIAIdO4kAzLwWeOwAAADkAAAAVAAAAAAAAAAEAIAAAAAoBAABkcnMvZ3JvdXBzaGFw&#10;ZXhtbC54bWxQSwUGAAAAAAYABgBgAQAAxwMAAAAA&#10;">
                  <o:lock v:ext="edit" aspectratio="f"/>
                  <v:line id="_x0000_s1026" o:spid="_x0000_s1026" o:spt="20" style="position:absolute;left:0;top:50800;flip:y;height:5080;width:5672455;" filled="f" stroked="t" coordsize="21600,21600" o:gfxdata="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VwYFy8AAAA&#10;2gAAAA8AAAAAAAAAAQAgAAAAIgAAAGRycy9kb3ducmV2LnhtbFBLAQIUABQAAAAIAIdO4kAzLwWe&#10;OwAAADkAAAAQAAAAAAAAAAEAIAAAAAsBAABkcnMvc2hhcGV4bWwueG1sUEsFBgAAAAAGAAYAWwEA&#10;ALUDAAAAAA==&#10;">
                    <v:fill on="f" focussize="0,0"/>
                    <v:stroke weight="3pt" color="#FF0000 [3204]" miterlimit="8" joinstyle="miter"/>
                    <v:imagedata o:title=""/>
                    <o:lock v:ext="edit" aspectratio="f"/>
                  </v:line>
                  <v:line id="_x0000_s1026" o:spid="_x0000_s1026" o:spt="20" style="position:absolute;left:0;top:0;flip:y;height:3810;width:5671185;" filled="f" stroked="t" coordsize="21600,21600" o:gfxdata="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yPt/dvQAA&#10;ANoAAAAPAAAAAAAAAAEAIAAAACIAAABkcnMvZG93bnJldi54bWxQSwECFAAUAAAACACHTuJAMy8F&#10;njsAAAA5AAAAEAAAAAAAAAABACAAAAAMAQAAZHJzL3NoYXBleG1sLnhtbFBLBQYAAAAABgAGAFsB&#10;AAC2AwAAAAA=&#10;">
                    <v:fill on="f" focussize="0,0"/>
                    <v:stroke weight="1.5pt" color="#FF0000 [3204]" miterlimit="8" joinstyle="miter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  <w:r>
        <w:rPr>
          <w:rFonts w:hint="eastAsia" w:ascii="方正小标宋简体" w:hAnsi="宋体" w:eastAsia="方正小标宋简体" w:cs="宋体"/>
          <w:color w:val="FF0000"/>
          <w:spacing w:val="100"/>
          <w:sz w:val="80"/>
          <w:szCs w:val="80"/>
        </w:rPr>
        <w:t>江门市农业农村局</w:t>
      </w:r>
    </w:p>
    <w:p w14:paraId="53CC54B7">
      <w:pPr>
        <w:spacing w:line="72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</w:rPr>
        <w:t>关于印发江门市田园生物防控绿化种植</w:t>
      </w:r>
    </w:p>
    <w:p w14:paraId="60DACAEB">
      <w:pPr>
        <w:spacing w:line="72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</w:rPr>
        <w:t>技术指引的通知</w:t>
      </w:r>
    </w:p>
    <w:p w14:paraId="44A77C6D">
      <w:pPr>
        <w:spacing w:line="560" w:lineRule="exac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蓬江区、江海区农业农村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和</w:t>
      </w:r>
      <w:bookmarkStart w:id="1" w:name="_GoBack"/>
      <w:bookmarkEnd w:id="1"/>
      <w:r>
        <w:rPr>
          <w:rFonts w:hint="eastAsia" w:ascii="Times New Roman" w:hAnsi="Times New Roman" w:eastAsia="方正仿宋_GBK" w:cs="Times New Roman"/>
          <w:sz w:val="32"/>
          <w:szCs w:val="32"/>
        </w:rPr>
        <w:t>水利局，各县（市、区）农业农村局：</w:t>
      </w:r>
    </w:p>
    <w:p w14:paraId="685D4061">
      <w:p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为深入推进我市农业绿色高质量发展，全面落实耕地生态保护与病虫害绿色防控要求，着力破解化学农药减量、天敌种群匮乏、农田生态单一等生产痛点，</w:t>
      </w:r>
      <w:r>
        <w:rPr>
          <w:rFonts w:ascii="Times New Roman" w:hAnsi="Times New Roman" w:eastAsia="方正仿宋_GBK" w:cs="Times New Roman"/>
          <w:sz w:val="32"/>
          <w:szCs w:val="32"/>
        </w:rPr>
        <w:t>充分发挥显花植物、灌木、树木涵养害虫天敌、调控田间微生态、美化田园环境的生态功能，我局结合我市气候特点、土壤条件及水稻、柑橘、蔬菜三大主导作物种植模式，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组织制定了《江门市田园生物防控绿化种植技术指引》。现印发给你们，请结合本地实际认真贯彻执行</w:t>
      </w:r>
      <w:r>
        <w:rPr>
          <w:rFonts w:ascii="Times New Roman" w:hAnsi="Times New Roman" w:eastAsia="方正仿宋_GBK" w:cs="Times New Roman"/>
          <w:sz w:val="32"/>
          <w:szCs w:val="32"/>
        </w:rPr>
        <w:t>。</w:t>
      </w:r>
    </w:p>
    <w:p w14:paraId="5C7BC0D3">
      <w:pPr>
        <w:spacing w:line="560" w:lineRule="atLeast"/>
        <w:ind w:right="-207" w:rightChars="-94"/>
        <w:jc w:val="center"/>
        <w:rPr>
          <w:rFonts w:ascii="Times New Roman" w:hAnsi="Times New Roman" w:eastAsia="方正仿宋_GBK" w:cs="Times New Roman"/>
          <w:sz w:val="32"/>
          <w:szCs w:val="32"/>
        </w:rPr>
      </w:pPr>
    </w:p>
    <w:p w14:paraId="12A13499">
      <w:pPr>
        <w:spacing w:line="560" w:lineRule="atLeast"/>
        <w:ind w:right="-207" w:rightChars="-94"/>
        <w:jc w:val="center"/>
        <w:rPr>
          <w:rFonts w:ascii="Times New Roman" w:hAnsi="Times New Roman" w:eastAsia="方正仿宋_GBK" w:cs="Times New Roman"/>
          <w:sz w:val="32"/>
          <w:szCs w:val="32"/>
        </w:rPr>
      </w:pPr>
    </w:p>
    <w:p w14:paraId="4D6B922B">
      <w:pPr>
        <w:spacing w:line="560" w:lineRule="atLeast"/>
        <w:ind w:right="-207" w:rightChars="-94" w:firstLine="4108" w:firstLineChars="1284"/>
        <w:jc w:val="center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江门市农业农村局</w:t>
      </w:r>
    </w:p>
    <w:p w14:paraId="32D36B7D">
      <w:pPr>
        <w:spacing w:line="560" w:lineRule="atLeast"/>
        <w:ind w:right="-207" w:rightChars="-94" w:firstLine="4108" w:firstLineChars="1284"/>
        <w:jc w:val="center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202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6</w:t>
      </w:r>
      <w:r>
        <w:rPr>
          <w:rFonts w:ascii="Times New Roman" w:hAnsi="Times New Roman" w:eastAsia="方正仿宋_GBK" w:cs="Times New Roman"/>
          <w:sz w:val="32"/>
          <w:szCs w:val="32"/>
        </w:rPr>
        <w:t>年10月15日</w:t>
      </w:r>
    </w:p>
    <w:p w14:paraId="73CF7B84">
      <w:pPr>
        <w:spacing w:line="560" w:lineRule="atLeast"/>
        <w:ind w:right="-207" w:rightChars="-94"/>
        <w:jc w:val="center"/>
        <w:rPr>
          <w:rFonts w:ascii="Times New Roman" w:hAnsi="Times New Roman" w:eastAsia="方正仿宋_GBK" w:cs="Times New Roman"/>
          <w:sz w:val="32"/>
          <w:szCs w:val="32"/>
        </w:rPr>
      </w:pPr>
    </w:p>
    <w:p w14:paraId="79C26060">
      <w:pPr>
        <w:spacing w:line="560" w:lineRule="atLeast"/>
        <w:ind w:right="-207" w:rightChars="-94"/>
        <w:jc w:val="both"/>
        <w:rPr>
          <w:rFonts w:ascii="Times New Roman" w:hAnsi="Times New Roman" w:eastAsia="方正小标宋_GBK" w:cs="Times New Roman"/>
          <w:sz w:val="44"/>
          <w:szCs w:val="44"/>
        </w:rPr>
      </w:pPr>
    </w:p>
    <w:p w14:paraId="30F83298">
      <w:pPr>
        <w:widowControl w:val="0"/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公开方式</w:t>
      </w:r>
      <w:r>
        <w:rPr>
          <w:rFonts w:hint="eastAsia" w:ascii="仿宋_GB2312" w:hAnsi="仿宋_GB2312" w:eastAsia="仿宋_GB2312" w:cs="仿宋_GB2312"/>
          <w:sz w:val="32"/>
          <w:szCs w:val="32"/>
        </w:rPr>
        <w:t>：主动公开</w:t>
      </w:r>
    </w:p>
    <w:p w14:paraId="3CB9C477">
      <w:pPr>
        <w:spacing w:line="560" w:lineRule="atLeas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br w:type="page"/>
      </w:r>
      <w:bookmarkStart w:id="0" w:name="OLE_LINK1"/>
      <w:r>
        <w:rPr>
          <w:rFonts w:hint="eastAsia" w:ascii="Times New Roman" w:hAnsi="Times New Roman" w:eastAsia="方正小标宋_GBK" w:cs="Times New Roman"/>
          <w:sz w:val="44"/>
          <w:szCs w:val="44"/>
        </w:rPr>
        <w:t>江门市田园生物防控绿化种植技术指引</w:t>
      </w:r>
    </w:p>
    <w:bookmarkEnd w:id="0"/>
    <w:p w14:paraId="3DB2DB81">
      <w:pPr>
        <w:spacing w:line="560" w:lineRule="atLeast"/>
        <w:ind w:right="-207" w:rightChars="-94"/>
        <w:jc w:val="both"/>
        <w:rPr>
          <w:rFonts w:ascii="Times New Roman" w:hAnsi="Times New Roman" w:eastAsia="方正楷体简体" w:cs="Times New Roman"/>
          <w:sz w:val="32"/>
          <w:szCs w:val="32"/>
        </w:rPr>
      </w:pPr>
    </w:p>
    <w:p w14:paraId="119BA847">
      <w:pPr>
        <w:pStyle w:val="15"/>
        <w:spacing w:line="560" w:lineRule="exact"/>
        <w:ind w:firstLine="640"/>
        <w:jc w:val="both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一、目的意义</w:t>
      </w:r>
    </w:p>
    <w:p w14:paraId="1B93590D">
      <w:pPr>
        <w:pStyle w:val="15"/>
        <w:spacing w:line="560" w:lineRule="exact"/>
        <w:ind w:firstLine="64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当前我市种植业规模化、集约化程度持续提升，单一化种植模式导致农田生物多样性下降，田间天敌栖息、觅食、繁育场所缺失，水稻螟虫、稻飞虱、柑橘红蜘蛛、蔬菜小菜蛾等主要病虫害频发，生产对化学农药依赖度较高，既增加种植成本、带来农药残留风险，又易引发病虫抗药性、土壤板结、农田生态退化等问题。</w:t>
      </w:r>
    </w:p>
    <w:p w14:paraId="7ECC1678">
      <w:pPr>
        <w:pStyle w:val="15"/>
        <w:spacing w:line="560" w:lineRule="exact"/>
        <w:ind w:firstLine="64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开</w:t>
      </w:r>
      <w:r>
        <w:rPr>
          <w:rFonts w:ascii="Times New Roman" w:hAnsi="Times New Roman" w:eastAsia="方正仿宋_GBK" w:cs="Times New Roman"/>
          <w:sz w:val="32"/>
          <w:szCs w:val="32"/>
        </w:rPr>
        <w:t>展农田显花植物、灌木、树木规范化种植，构建“乔灌草结合、花果香并茂”的立体生态绿化体系，推广生态生物防治：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一是涵养天敌种群，通过显花植物提供花粉、花蜜和栖息庇护场所，持续增殖寄生蜂、瓢虫、草蛉、捕食螨等优势天敌，构建“以虫治虫”自然控害体系；</w:t>
      </w:r>
      <w:r>
        <w:rPr>
          <w:rFonts w:ascii="Times New Roman" w:hAnsi="Times New Roman" w:eastAsia="方正仿宋_GBK" w:cs="Times New Roman"/>
          <w:sz w:val="32"/>
          <w:szCs w:val="32"/>
        </w:rPr>
        <w:t>灌木、乔木为天敌提供越冬、越夏和躲避农药喷施、机械作业干扰的长期庇护空间，保障天敌种群稳定存续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。二是实现农药减量控害，减少化学农药施用频次与用量，降低农业面源污染，落实化学农药减量化行动要求。三是改良农田生态环境，丰富田间植被群落，抑制恶性杂草，调节田间温湿度，提升农田生态稳定性。四</w:t>
      </w:r>
      <w:r>
        <w:rPr>
          <w:rFonts w:ascii="Times New Roman" w:hAnsi="Times New Roman" w:eastAsia="方正仿宋_GBK" w:cs="Times New Roman"/>
          <w:sz w:val="32"/>
          <w:szCs w:val="32"/>
        </w:rPr>
        <w:t>是绿化美化田园，以“田成方、路成行、树成荫、花成带”为目标，提升田园“绿色、生态、美丽”品质，绘就宜居宜业和美乡村画卷。五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是助力提质增收，减少病虫危害损失，部分显花植物、灌木、树木兼具绿肥、蜜源、景观价值，实现生态、经济、社会效益协同提升</w:t>
      </w:r>
      <w:r>
        <w:rPr>
          <w:rFonts w:ascii="Times New Roman" w:hAnsi="Times New Roman" w:eastAsia="方正仿宋_GBK" w:cs="Times New Roman"/>
          <w:sz w:val="32"/>
          <w:szCs w:val="32"/>
        </w:rPr>
        <w:t>。</w:t>
      </w:r>
    </w:p>
    <w:p w14:paraId="7686F61F">
      <w:pPr>
        <w:spacing w:line="560" w:lineRule="exact"/>
        <w:ind w:firstLine="640" w:firstLineChars="200"/>
        <w:jc w:val="both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二、防治基本原理</w:t>
      </w:r>
    </w:p>
    <w:p w14:paraId="329CFF45">
      <w:pPr>
        <w:spacing w:line="560" w:lineRule="exact"/>
        <w:ind w:firstLine="643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</w:rPr>
        <w:t>（一）食物补给原理。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寄生蜂、食蚜蝇、草蛉等天敌成虫阶段需依托花粉、花蜜补充营养，以提高产卵量、延长寿命、增强捕食寄生能力。规范化种植花期交错、蜜粉充足的显花植物，可全程为天敌提供稳定食源。</w:t>
      </w:r>
    </w:p>
    <w:p w14:paraId="4BF9C538">
      <w:pPr>
        <w:spacing w:line="560" w:lineRule="exact"/>
        <w:ind w:firstLine="643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</w:rPr>
        <w:t>（二）栖息庇护原理。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显花植物群落与灌木、乔木共同构成“草—灌—乔”多层植被结构，为天敌提供躲避高温暴雨、农药喷施、机械作业干扰的庇护场所和越夏、越冬、繁育空间，</w:t>
      </w:r>
      <w:r>
        <w:rPr>
          <w:rFonts w:ascii="Times New Roman" w:hAnsi="Times New Roman" w:eastAsia="方正仿宋_GBK" w:cs="Times New Roman"/>
          <w:sz w:val="32"/>
          <w:szCs w:val="32"/>
        </w:rPr>
        <w:t>常绿灌木、乔木保障冬季生态功能不断档，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保障天敌种群持续存续。</w:t>
      </w:r>
    </w:p>
    <w:p w14:paraId="480FD64D">
      <w:pPr>
        <w:spacing w:line="560" w:lineRule="exact"/>
        <w:ind w:firstLine="643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</w:rPr>
        <w:t>（三）趋避诱控原理。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部分显花植物可释放特异性挥发性气味，对靶标害虫产生驱避作用，或诱集害虫集中栖息产卵，减少主栽作物受害，形成“驱害保益、控虫减害”的生态屏障。</w:t>
      </w:r>
    </w:p>
    <w:p w14:paraId="229D2376">
      <w:pPr>
        <w:spacing w:line="560" w:lineRule="exact"/>
        <w:ind w:firstLine="643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</w:rPr>
        <w:t>（四）生态制衡原理。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科学搭配不同花期、株型、功能的显花植物，构建稳定的田间植被生态带，修复农田生物链，打破“害虫泛滥—农药喷施—天敌消亡—害虫再暴发”的恶性循环。生态控害效果的发挥具有景观尺度依赖性，提倡整村整片连片建设。</w:t>
      </w:r>
    </w:p>
    <w:p w14:paraId="01663765">
      <w:pPr>
        <w:spacing w:line="560" w:lineRule="exact"/>
        <w:ind w:firstLine="640" w:firstLineChars="200"/>
        <w:jc w:val="both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三、品种选定与种植布局</w:t>
      </w:r>
    </w:p>
    <w:p w14:paraId="4967C2C8">
      <w:pPr>
        <w:spacing w:line="560" w:lineRule="exact"/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结合我市温暖湿润、雨热同期、无霜期长的气候特点，针对水稻、柑橘、蔬菜三大主导作物，遵循花期适配、功能互补、适生易管、不争肥不害苗、安全无入侵风险原则，选定显花植物品种并明确种植要求</w:t>
      </w:r>
      <w:r>
        <w:rPr>
          <w:rFonts w:ascii="Times New Roman" w:hAnsi="Times New Roman" w:eastAsia="方正仿宋_GBK" w:cs="Times New Roman"/>
          <w:sz w:val="32"/>
          <w:szCs w:val="32"/>
        </w:rPr>
        <w:t>，同步合理配置灌木、树木，形成“乔灌草”立体生态绿化体系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。</w:t>
      </w:r>
    </w:p>
    <w:p w14:paraId="2CA84920">
      <w:pPr>
        <w:spacing w:line="560" w:lineRule="exact"/>
        <w:ind w:firstLine="643" w:firstLineChars="200"/>
        <w:jc w:val="both"/>
        <w:rPr>
          <w:rFonts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</w:rPr>
        <w:t>（一）总体要求</w:t>
      </w:r>
    </w:p>
    <w:p w14:paraId="4F0A2717">
      <w:pPr>
        <w:spacing w:line="560" w:lineRule="exact"/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1.种植范围。显花植物一律种植于田埂、机耕道两侧、田间沟渠两侧空地、果园行间空地、菜地边角等非生产区域</w:t>
      </w:r>
      <w:r>
        <w:rPr>
          <w:rFonts w:ascii="Times New Roman" w:hAnsi="Times New Roman" w:eastAsia="方正仿宋_GBK" w:cs="Times New Roman"/>
          <w:sz w:val="32"/>
          <w:szCs w:val="32"/>
        </w:rPr>
        <w:t>；灌木、树木种植于田埂外侧、机耕道两侧、灌排沟渠坡岸、果园外围、菜地边角及村庄周边空闲地等非生产区域，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严禁进入主栽作物种植行内，不改变土地用途，不与主作物争水、争肥、争光，不影响机械化耕种和采收作业。</w:t>
      </w:r>
    </w:p>
    <w:p w14:paraId="538A8EB9">
      <w:pPr>
        <w:spacing w:line="560" w:lineRule="exact"/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2.品种安全。严禁选用入侵性、恶性杂草类显花植物和外来入侵树种，优先使用本地驯化适生品种，严格按照配比搭配种植，避免单一品种大面积连片导致生态单一、防控效果下降。对自播蔓延能力强的品种，花后及时刈割，防止无序扩散。</w:t>
      </w:r>
    </w:p>
    <w:p w14:paraId="0592223B">
      <w:pPr>
        <w:spacing w:line="560" w:lineRule="exact"/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3.因地制宜。各地土壤肥力、灌溉条件、种植模式存在差异，各县（市、区）可结合本地实际对品种配比、播种量和种植密度作适当微调，优先选用本地长势稳定、控害效果好的品种；文中播种用量为参考值，可依据种子发芽率、整地条件调整。</w:t>
      </w:r>
    </w:p>
    <w:p w14:paraId="5237EECD">
      <w:pPr>
        <w:spacing w:line="560" w:lineRule="exact"/>
        <w:ind w:firstLine="643" w:firstLineChars="200"/>
        <w:jc w:val="both"/>
        <w:rPr>
          <w:rFonts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</w:rPr>
        <w:t>（二）水稻田选配方案</w:t>
      </w:r>
    </w:p>
    <w:p w14:paraId="46D0FF3F">
      <w:pPr>
        <w:spacing w:line="560" w:lineRule="exact"/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1.防控目标。主防水稻二化螟、稻纵卷叶螟、稻飞虱、稻蓟马等，涵养稻螟赤眼蜂、螟黄赤眼蜂、稻虱缨小蜂、黑肩绿盲蝽、蜘蛛等优势天敌。</w:t>
      </w:r>
    </w:p>
    <w:p w14:paraId="5ADCE662">
      <w:pPr>
        <w:spacing w:line="560" w:lineRule="exact"/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2.品种选定。蜜源植物：芝麻、大豆、波斯菊、硫华菊、紫云英、蛇床草。配套诱虫植物：香根草。香根草可高效诱集二化螟、大螟雌成虫产卵，孵化幼虫不能完成世代，从而降低螟虫种群基数，紫云英兼具绿肥改土功能，适配双季稻种植模式。蛇床草在华南稻区的应用尚属引种示范，建议控制在配比10%以内。</w:t>
      </w:r>
    </w:p>
    <w:p w14:paraId="677F16EA">
      <w:pPr>
        <w:spacing w:line="560" w:lineRule="exact"/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3.种植位置。显花植物种植面积占稻田总面积3%～5%，全部布置于田埂、机耕道两侧、灌排沟渠两侧空地，沿田埂、沟渠带状条播。田埂单侧花带宽30～50厘米，机耕道两侧花带各宽50～100厘米。香根草沿田埂每3～5米栽植一丛。花带保持规整，避免杂乱疯长影响田间通风透光。</w:t>
      </w:r>
    </w:p>
    <w:p w14:paraId="119EFCA2">
      <w:pPr>
        <w:spacing w:line="560" w:lineRule="exact"/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4.种植时间。（1）紫云英、蛇床：10月中下旬至11月播种；紫云英兼作绿肥套播的，于晚稻收割前10～20天（机收田块以收割前10天左右为宜）排水露田后套播，翌年2月下旬至4月初盛花，适配早稻生长期天敌保育；兼作绿肥的田块于盛花初荚期、早稻抛（插）秧前7～20天翻压沤田。（2）芝麻、大豆：4月上中旬早稻移栽前后春播，花期6～8月，晚稻季可于7月下旬补播一茬。（3）波斯菊、硫华菊：3～4月、6～7月分批播种，实现5～11月持续开花，衔接晚稻病虫高发期；夏季批次以耐热的硫华菊为主，波斯菊以春秋批次为主。（4）香根草：3～4月分株栽植，一次栽植多年利用。</w:t>
      </w:r>
    </w:p>
    <w:p w14:paraId="1B4E7C5D">
      <w:pPr>
        <w:spacing w:line="560" w:lineRule="exact"/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5.种植用量与配比。品种配比（按面积计）：芝麻25%、大豆25%、波斯菊+硫华菊20%、紫云英20%、蛇床10%。香根草不占配比，沿田埂每3～5米栽植一丛，每丛3～5株分蘖苗。每亩花带参考用量：芝麻条播0.4～0.5公斤（行距30厘米左右）。大豆穴播3～4公斤，行距30～40厘米、穴距15～20厘米，每穴2～3粒。波斯菊与硫华菊混播1～1.5公斤；紫云英1.5～2公斤（播前晒种、擦种、接种根瘤菌剂效果更佳）；蛇床1～1.5公斤。</w:t>
      </w:r>
    </w:p>
    <w:p w14:paraId="2D05C764">
      <w:pPr>
        <w:spacing w:line="560" w:lineRule="exact"/>
        <w:ind w:firstLine="643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</w:rPr>
        <w:t>（三）柑橘园选配方案</w:t>
      </w:r>
    </w:p>
    <w:p w14:paraId="51BF055E">
      <w:pPr>
        <w:spacing w:line="560" w:lineRule="exact"/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1.防控目标。主防柑橘红蜘蛛、锈壁虱、木虱、潜叶蛾、蚜虫等，涵养捕食螨、寄生蜂、食蚜蝇、瓢虫、草蛉等天敌，同时改良果园土壤、抑制杂草、调节果园小气候。特别说明：柑橘木虱为柑橘黄龙病唯一自然传播媒介，显花植物生态调控对其仅起辅助作用，必须按照《柑橘黄龙病防控技术规程》及全国农技中心年度防控方案，坚持春梢、夏梢、秋梢等新梢抽发期统一药剂防治（药剂轮换使用）、发病植株挖除、种苗检疫和清除果园周边九里香、黄皮等芸香科寄主植物，不得以生态调控替代药剂统防。本方案适用于新会茶枝柑（新会柑）等我市特色柑橘生产。</w:t>
      </w:r>
    </w:p>
    <w:p w14:paraId="283DD046">
      <w:pPr>
        <w:spacing w:line="560" w:lineRule="exact"/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2.品种选定。柱花草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白三叶、紫云英、油菜花、圆叶决明、硫华菊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、铺地木蓝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。白三叶、紫云英等豆科类的花具有承接捕食螨等天敌保育功能。</w:t>
      </w:r>
    </w:p>
    <w:p w14:paraId="666BE133">
      <w:pPr>
        <w:spacing w:line="560" w:lineRule="exact"/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3.种植位置。显花植物种植面积占柑橘园行间空地总面积10%～15%，行间间隔带状种植，距树干距离按树种树龄掌握，行间保留通风作业通道，生草带宽度依据行间宽度和树冠冠幅灵活确定。</w:t>
      </w:r>
    </w:p>
    <w:p w14:paraId="53AB3E36">
      <w:pPr>
        <w:spacing w:line="560" w:lineRule="exact"/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4.种植时间。（1）春播（3～4月）：柱花草、圆叶决明、硫华菊。（2）秋播（10月下旬至11月）：紫云英、油菜、白三叶。春夏以圆叶决明、硫华菊、铺地木蓝开花为主，秋冬至翌春以紫云英、油菜、白三叶接续，实现全年花期衔接、天敌种群持续保育。</w:t>
      </w:r>
    </w:p>
    <w:p w14:paraId="6B7E91E7">
      <w:pPr>
        <w:spacing w:line="560" w:lineRule="exact"/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5.种植用量与配比。品种配比（按面积计）：</w:t>
      </w:r>
      <w:r>
        <w:rPr>
          <w:rFonts w:ascii="Times New Roman" w:hAnsi="Times New Roman" w:eastAsia="方正仿宋_GBK" w:cs="Times New Roman"/>
          <w:sz w:val="32"/>
          <w:szCs w:val="32"/>
        </w:rPr>
        <w:t>柱花草30%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、圆叶决明15%、硫华菊15%、白三叶10%、紫云英+油菜30%。每亩生草带参考用量：柱花草条播或撒播1～1.5公斤；圆叶决明1～1.5公斤；白三叶0.5～0.8公斤（仅秋播）；硫华菊1～1.5公斤；紫云英1.5～2公斤；油菜直播0.2～0.3公斤（最迟11月底前完成播种）。</w:t>
      </w:r>
    </w:p>
    <w:p w14:paraId="71B04785">
      <w:pPr>
        <w:spacing w:line="560" w:lineRule="exact"/>
        <w:ind w:firstLine="643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</w:rPr>
        <w:t>（四）蔬菜田选配方案</w:t>
      </w:r>
    </w:p>
    <w:p w14:paraId="12B4BC38">
      <w:pPr>
        <w:spacing w:line="560" w:lineRule="exact"/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1.防控目标。主防小菜蛾、菜青虫、蚜虫、蓟马、潜叶蝇、斜纹夜蛾等高频病虫害，涵养小菜蛾绒茧蜂、食蚜蝇、草蛉、瓢虫等天敌。</w:t>
      </w:r>
    </w:p>
    <w:p w14:paraId="3AA57068">
      <w:pPr>
        <w:spacing w:line="560" w:lineRule="exact"/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2.品种选定。芝麻、硫华菊、波斯菊、百日草、荞麦、白三叶，均为速生、花期较长、适于分批播种的品种，兼顾天敌保育与菜地整洁管护需求。</w:t>
      </w:r>
    </w:p>
    <w:p w14:paraId="77D62B3B">
      <w:pPr>
        <w:spacing w:line="560" w:lineRule="exact"/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3.种植位置。显花植物种植面积占蔬菜田总面积3%～4%，集中布置于菜地田埂、边角地、沟渠两侧及棚间空地，窄带规整种植，带宽60～80厘米。</w:t>
      </w:r>
    </w:p>
    <w:p w14:paraId="6E457463">
      <w:pPr>
        <w:spacing w:line="560" w:lineRule="exact"/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4.种植时间。配合蔬菜轮作茬口分批播种：春茬3～4月播种荞麦，4～5月播种芝麻，5～6月播种波斯菊、百日草，8～9月补播荞麦、硫华菊，10月前后秋播白三叶，实现春、夏、秋三季持续开花并衔接冬季，适配叶菜、瓜菜、豆类不同生长期防控需求。</w:t>
      </w:r>
    </w:p>
    <w:p w14:paraId="798EE0D7">
      <w:pPr>
        <w:spacing w:line="560" w:lineRule="exact"/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5.种植用量与配比。品种配比（按面积计）：硫华菊+波斯菊35%、芝麻25%、荞麦20%、白三叶+百日草20%。每亩花带参考用量：硫华菊与波斯菊混播1～1.5公斤；芝麻条播0.4～0.5公斤；荞麦条播2～2.5公斤；白三叶0.5～0.8公斤（仅秋播）；百日草0.8～1公斤。</w:t>
      </w:r>
    </w:p>
    <w:p w14:paraId="79548114">
      <w:pPr>
        <w:spacing w:line="560" w:lineRule="exact"/>
        <w:ind w:firstLine="643" w:firstLineChars="200"/>
        <w:jc w:val="both"/>
        <w:rPr>
          <w:rFonts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</w:rPr>
        <w:t>（五）</w:t>
      </w:r>
      <w:r>
        <w:rPr>
          <w:rFonts w:ascii="Times New Roman" w:hAnsi="Times New Roman" w:eastAsia="方正仿宋_GBK" w:cs="Times New Roman"/>
          <w:b/>
          <w:bCs/>
          <w:sz w:val="32"/>
          <w:szCs w:val="32"/>
        </w:rPr>
        <w:t>田园绿化灌木、树木选配方案</w:t>
      </w:r>
    </w:p>
    <w:p w14:paraId="39E8C88A">
      <w:pPr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1</w:t>
      </w:r>
      <w:r>
        <w:rPr>
          <w:rFonts w:ascii="Times New Roman" w:hAnsi="Times New Roman" w:eastAsia="方正仿宋_GBK" w:cs="Times New Roman"/>
          <w:sz w:val="32"/>
          <w:szCs w:val="32"/>
        </w:rPr>
        <w:t>. 防控与美化目标。在显花植物草本花带基础上，因地制宜配置灌木、乔木，构建“草本花带—灌木绿篱—乔木骨架”三位一体的立体生态绿化屏障：一是巩固天敌栖息庇护，灌木、乔木为天敌提供长期、稳定的越冬、越夏和躲避农药喷施、机械作业的庇护场所，常绿树种保障冬季生态防控不断档；二是强化趋避诱控，部分灌木释放挥发性气味驱避害虫、诱集天敌，构成主栽作物周边的天然隔离防护带；三是绿化美化田园，灌木绿篱整齐成线、乔木遮荫成景，落叶与常绿、观花与观叶合理搭配，提升田园“绿色、生态、美丽”的景观品质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。</w:t>
      </w:r>
    </w:p>
    <w:p w14:paraId="32621BBE">
      <w:pPr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2</w:t>
      </w:r>
      <w:r>
        <w:rPr>
          <w:rFonts w:ascii="Times New Roman" w:hAnsi="Times New Roman" w:eastAsia="方正仿宋_GBK" w:cs="Times New Roman"/>
          <w:sz w:val="32"/>
          <w:szCs w:val="32"/>
        </w:rPr>
        <w:t>. 品种选定。（1）乔木类。优先选用本地适生的常绿、落叶兼配树种，主要包括香樟、苦楝、乌桕、桂花、紫薇、枇杷等。香樟四季常青、散发芳香气息，对多种害虫具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有</w:t>
      </w:r>
      <w:r>
        <w:rPr>
          <w:rFonts w:ascii="Times New Roman" w:hAnsi="Times New Roman" w:eastAsia="方正仿宋_GBK" w:cs="Times New Roman"/>
          <w:sz w:val="32"/>
          <w:szCs w:val="32"/>
        </w:rPr>
        <w:t>一定忌避作用，可作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为</w:t>
      </w:r>
      <w:r>
        <w:rPr>
          <w:rFonts w:ascii="Times New Roman" w:hAnsi="Times New Roman" w:eastAsia="方正仿宋_GBK" w:cs="Times New Roman"/>
          <w:sz w:val="32"/>
          <w:szCs w:val="32"/>
        </w:rPr>
        <w:t>田园骨干遮荫树；苦楝树体高大、遮荫纳凉，树皮、叶富含苦楝素，对多种害虫具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有</w:t>
      </w:r>
      <w:r>
        <w:rPr>
          <w:rFonts w:ascii="Times New Roman" w:hAnsi="Times New Roman" w:eastAsia="方正仿宋_GBK" w:cs="Times New Roman"/>
          <w:sz w:val="32"/>
          <w:szCs w:val="32"/>
        </w:rPr>
        <w:t>忌避驱避作用；乌桕花期蜜粉丰富、秋季叶色红艳，兼具蜜源与景观价值；桂花、紫薇花期长、观赏价值高，可招引蜜蜂、寄生蜂等天敌；枇杷常绿，花香果硕，兼具田园绿化与庭院经济价值。（2）灌木类。优先选用木槿、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金银木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ascii="Times New Roman" w:hAnsi="Times New Roman" w:eastAsia="方正仿宋_GBK" w:cs="Times New Roman"/>
          <w:sz w:val="32"/>
          <w:szCs w:val="32"/>
        </w:rPr>
        <w:t>石榴、女贞、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花椒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ascii="Times New Roman" w:hAnsi="Times New Roman" w:eastAsia="方正仿宋_GBK" w:cs="Times New Roman"/>
          <w:sz w:val="32"/>
          <w:szCs w:val="32"/>
        </w:rPr>
        <w:t>枸骨等。木槿花期6～10月、蜜粉充足，可招引食蚜蝇、草蛉、瓢虫等天敌，兼作绿色绿篱；为天敌和鸟类提供冬季庇护；石榴花果并美，招引多种天敌，兼具绿化与观赏价值。（3）特别说明。柑橘园及周边严禁种植芸香科（黄皮、九里香等）寄主灌木、乔木（主栽柑橘除外），防止为柑橘木虱提供繁殖寄主、加剧柑橘黄龙病传播风险；已种植的芸香科寄主植物应按照相关防控要求严格清除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。</w:t>
      </w:r>
    </w:p>
    <w:p w14:paraId="78CF180B">
      <w:pPr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3</w:t>
      </w:r>
      <w:r>
        <w:rPr>
          <w:rFonts w:ascii="Times New Roman" w:hAnsi="Times New Roman" w:eastAsia="方正仿宋_GBK" w:cs="Times New Roman"/>
          <w:sz w:val="32"/>
          <w:szCs w:val="32"/>
        </w:rPr>
        <w:t>. 种植位置。灌木、树木一律种植于田埂外侧、机耕道两侧、灌排沟渠坡岸、果园外围、菜地边角及村庄周边空闲地等非生产区域，不得进入主栽作物种植行内，不得影响机械化作业、田间采光通风。乔木原则上沿机耕道、沟渠单排或双排种植，株距4～6米，树冠与主栽作物保持合理间距，避免遮荫争光；灌木沿田埂、道路、沟渠连续成篱，株距1～1.5米。落叶与常绿、观花与遮荫树种合理间作，形成“乔—灌—草”三层立体植被结构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。</w:t>
      </w:r>
    </w:p>
    <w:p w14:paraId="3BDA5DE6">
      <w:pPr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4</w:t>
      </w:r>
      <w:r>
        <w:rPr>
          <w:rFonts w:ascii="Times New Roman" w:hAnsi="Times New Roman" w:eastAsia="方正仿宋_GBK" w:cs="Times New Roman"/>
          <w:sz w:val="32"/>
          <w:szCs w:val="32"/>
        </w:rPr>
        <w:t>. 种植时间。结合我市温暖湿润、无霜期长的气候特点，乔木于春季（2～3月）或秋末冬初（10～11月）带土球移栽，成活率高；灌木于春季（2～4月）栽植或雨季扦插，栽后及时浇定根水。当年定植的乔木、灌木，翌年春季及时补植缺株，确保成林成篱。</w:t>
      </w:r>
    </w:p>
    <w:p w14:paraId="43511CCB">
      <w:pPr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5.种植密度与搭配。参照“路渠成行、田埂成篱”布局：机耕道、沟渠每侧乔木1行、灌木1篱，乔木株距4～6米，灌木株距1～1.5米；田埂外侧以灌木绿篱为主，乔木视空间适度点植。乔木按香樟、苦楝等骨干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遮阴</w:t>
      </w:r>
      <w:r>
        <w:rPr>
          <w:rFonts w:ascii="Times New Roman" w:hAnsi="Times New Roman" w:eastAsia="方正仿宋_GBK" w:cs="Times New Roman"/>
          <w:sz w:val="32"/>
          <w:szCs w:val="32"/>
        </w:rPr>
        <w:t>树约占60%，乌桕、桂花、紫薇等观花观叶树种约占40%配置；灌木按木槿、金银木、石榴等约占70%，花椒、枸骨等刺篱类约占30%配置，具体依本地资源和管护能力微调。</w:t>
      </w:r>
    </w:p>
    <w:p w14:paraId="19CA623A">
      <w:pPr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6.耕地保护要求。坚持耕地保护优先、不占耕地、不改用途的原则，永久基本农田地块范围内一律不栽植灌木、乔木等多年生木本植物，仅保留草本显花带；路渠两侧绿化不得占用耕地及永久基本农田，不得超标准建设绿色通道；田园景观绿化严格限定于田埂外侧、机耕道两侧、灌排沟渠坡岸、果园外围、菜地边角及村庄周边空闲地等非生产区域，严禁在耕地上实施绿化造林、景观化种植等改变用途行为。</w:t>
      </w:r>
    </w:p>
    <w:p w14:paraId="042713AE">
      <w:pPr>
        <w:spacing w:line="560" w:lineRule="exact"/>
        <w:ind w:firstLine="640" w:firstLineChars="200"/>
        <w:jc w:val="both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四、日常管护与配套管理</w:t>
      </w:r>
    </w:p>
    <w:p w14:paraId="6A2AAE0F">
      <w:pPr>
        <w:spacing w:line="560" w:lineRule="exact"/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显花植物管护遵循“轻管护、原生态、保种群、续花期”原则，避免过度管护破坏天敌栖息环境，适配我市多雨、高温、高湿气候特点，重点做好以下工作：</w:t>
      </w:r>
    </w:p>
    <w:p w14:paraId="026469F7">
      <w:pPr>
        <w:spacing w:line="560" w:lineRule="exact"/>
        <w:ind w:firstLine="643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</w:rPr>
        <w:t>（一）播种苗期管护。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按上述适期播种，水田田埂以条播为主，果园行间可条播或撒播，菜地边角以撒播为主，具体依品种特性和种植位置确定，播后浅覆土、轻镇压，保障出苗整齐。苗期及时清除狗尾草、牛筋草等恶性杂草，避免与显花植物争肥争光。遇连续暴雨及时疏通沟渠、排除积水，防止烂根死苗。高温干旱时段轻度补水保苗。</w:t>
      </w:r>
    </w:p>
    <w:p w14:paraId="6141ED83">
      <w:pPr>
        <w:spacing w:line="560" w:lineRule="exact"/>
        <w:ind w:firstLine="643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</w:rPr>
        <w:t>（二）生长期管护。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修剪控旺。直立型显花植物株高控制在60～100厘米；匍匐型、丛生型品种不作统一控高要求，香根草每年刈割1~2次，保持嫩绿。花期养护。分批修剪残花、弱枝，延长整体花期，保障天敌持续获取蜜粉资源，非应急状态下花带内禁施农药。肥力管理。依托土壤原有肥力自然生长，无需额外施肥，贫瘠地块可少量撒施腐熟有机肥，不建议施用速效化肥，避免植株徒长、花期缩短。</w:t>
      </w:r>
    </w:p>
    <w:p w14:paraId="3941B10E">
      <w:pPr>
        <w:spacing w:line="560" w:lineRule="exact"/>
        <w:ind w:firstLine="643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</w:rPr>
        <w:t>（三）越夏越冬管护。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多年生显花植物次年春季轻剪残株，促发新枝复花；一年生显花植物花期结束后及时清茬，结合主栽作物茬口补播下一季品种。</w:t>
      </w:r>
    </w:p>
    <w:p w14:paraId="2832373C">
      <w:pPr>
        <w:spacing w:line="560" w:lineRule="exact"/>
        <w:ind w:firstLine="643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</w:rPr>
        <w:t>（四）茬口更新与花带保护。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显花植物花期结束后，及时清理枯残植株，结合主栽作物轮作茬口补播新种，保障田间全年有花、四季有蜜。非茬口更新、非特殊作业需求，严禁随意铲除或喷洒除草剂损毁显花植物带，保障田间生态防控体系稳定存续。</w:t>
      </w:r>
    </w:p>
    <w:p w14:paraId="297DC7C6">
      <w:pPr>
        <w:spacing w:line="560" w:lineRule="exact"/>
        <w:ind w:firstLine="643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</w:rPr>
        <w:t>（五）病虫害应急防控衔接。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显花植物生态防治属预防性、基础性绿色防控措施，不能完全替代应急防控。田间病虫害高密度暴发时，应优先选用生物农药和低毒低残留农药开展应急防治，精准定向喷施，做好花带隔离防护，避开天敌活跃时段和开花盛期施药，最大限度保护田间天敌种群。</w:t>
      </w:r>
    </w:p>
    <w:p w14:paraId="5965BBA3">
      <w:pPr>
        <w:spacing w:line="560" w:lineRule="exact"/>
        <w:ind w:firstLine="643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</w:rPr>
        <w:t>（六）田间作业保护。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施肥、灌溉、除草、收割等田间作业尽量避让显花植物带，减少机械碾压和人为踩踏损伤。定期巡查花带生长情况，及时清除病株、残株，防止花带滋生病虫形成二次侵染。</w:t>
      </w:r>
    </w:p>
    <w:p w14:paraId="2EDC4BB6">
      <w:pPr>
        <w:spacing w:line="560" w:lineRule="exact"/>
        <w:ind w:firstLine="643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</w:rPr>
        <w:t>（七）</w:t>
      </w:r>
      <w:r>
        <w:rPr>
          <w:rFonts w:ascii="Times New Roman" w:hAnsi="Times New Roman" w:eastAsia="方正仿宋_GBK" w:cs="Times New Roman"/>
          <w:b/>
          <w:bCs/>
          <w:sz w:val="32"/>
          <w:szCs w:val="32"/>
        </w:rPr>
        <w:t>灌木、树木管护。</w:t>
      </w:r>
      <w:r>
        <w:rPr>
          <w:rFonts w:ascii="Times New Roman" w:hAnsi="Times New Roman" w:eastAsia="方正仿宋_GBK" w:cs="Times New Roman"/>
          <w:sz w:val="32"/>
          <w:szCs w:val="32"/>
        </w:rPr>
        <w:t>灌木、树木栽植成活后遵循“轻管护、保种群”原则，与花带管护一体推进。一是整形修剪，结合春秋两季适度修剪，控制树形树势，清除病虫枝、枯死枝，保持绿篱整齐、骨干树通风透光，不破坏天敌栖居环境；二是肥水管理，依托土壤原有肥力自然生长，一般不需额外施肥，久旱时适度补水，保证成活和长势；三是病虫防治，田园绿化灌木、树木一般不用药，确需防治时优先选用生物农药、低毒低残留农药精准定向喷施，避开天敌活跃时段；四是补植更新，对缺株、死亡植株及时补植，保持绿篱、林带完整连续，对老化、病虫害严重的植株适时更新，维持“乔—灌—草”立体生态屏障稳定。</w:t>
      </w:r>
    </w:p>
    <w:p w14:paraId="54514362">
      <w:pPr>
        <w:spacing w:line="560" w:lineRule="exact"/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</w:rPr>
      </w:pPr>
    </w:p>
    <w:sectPr>
      <w:footerReference r:id="rId3" w:type="default"/>
      <w:pgSz w:w="11907" w:h="16839"/>
      <w:pgMar w:top="1531" w:right="1531" w:bottom="1418" w:left="1531" w:header="0" w:footer="760" w:gutter="0"/>
      <w:cols w:equalWidth="0" w:num="1">
        <w:col w:w="8858"/>
      </w:cols>
      <w:docGrid w:type="lines" w:linePitch="50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60DB39C-52FF-4F9A-8870-92589B5237D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0A983945-40E7-4B1C-B9A5-B48D723C86FA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94FFF274-A6DE-4E9E-9CBE-B27BDE31A03F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DEEBEED9-ED86-4A9C-A99A-22F8533E616B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5" w:fontKey="{191437C6-DA28-441C-9BD2-2D22223E7C1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2A1136FA-FA15-4AA0-AC2D-7C32D330A4FA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 w14:paraId="5A000CE5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EFB80A9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F40"/>
    <w:rsid w:val="00024343"/>
    <w:rsid w:val="00161E32"/>
    <w:rsid w:val="0018487D"/>
    <w:rsid w:val="002A1197"/>
    <w:rsid w:val="002B3596"/>
    <w:rsid w:val="002F37BF"/>
    <w:rsid w:val="00356DA2"/>
    <w:rsid w:val="00392B9C"/>
    <w:rsid w:val="00397F40"/>
    <w:rsid w:val="004C4F5F"/>
    <w:rsid w:val="004E5F87"/>
    <w:rsid w:val="00503A8C"/>
    <w:rsid w:val="0053705E"/>
    <w:rsid w:val="005532AB"/>
    <w:rsid w:val="00593F02"/>
    <w:rsid w:val="00683733"/>
    <w:rsid w:val="007165BD"/>
    <w:rsid w:val="00850DE0"/>
    <w:rsid w:val="00864BF6"/>
    <w:rsid w:val="00896617"/>
    <w:rsid w:val="00A9030F"/>
    <w:rsid w:val="00A9237D"/>
    <w:rsid w:val="00B26870"/>
    <w:rsid w:val="00B26BBA"/>
    <w:rsid w:val="00BD0910"/>
    <w:rsid w:val="00C75723"/>
    <w:rsid w:val="00CB79C1"/>
    <w:rsid w:val="00D11C82"/>
    <w:rsid w:val="00D457EE"/>
    <w:rsid w:val="00EB7F97"/>
    <w:rsid w:val="00EC41A6"/>
    <w:rsid w:val="00F035BC"/>
    <w:rsid w:val="15DD5F33"/>
    <w:rsid w:val="17F74F1C"/>
    <w:rsid w:val="1BD565B2"/>
    <w:rsid w:val="1E77BCAF"/>
    <w:rsid w:val="1F3F6851"/>
    <w:rsid w:val="23FF4786"/>
    <w:rsid w:val="2C3E0A54"/>
    <w:rsid w:val="2CD83737"/>
    <w:rsid w:val="2FF92879"/>
    <w:rsid w:val="376EB006"/>
    <w:rsid w:val="3D2D75C1"/>
    <w:rsid w:val="3F1B824F"/>
    <w:rsid w:val="47EF60B8"/>
    <w:rsid w:val="56FBC4BE"/>
    <w:rsid w:val="5BB60371"/>
    <w:rsid w:val="5BD3C182"/>
    <w:rsid w:val="5BFDF5FD"/>
    <w:rsid w:val="5BFF26A2"/>
    <w:rsid w:val="5FD3051D"/>
    <w:rsid w:val="5FD7C0BE"/>
    <w:rsid w:val="5FDF376B"/>
    <w:rsid w:val="606D6352"/>
    <w:rsid w:val="677FAC4D"/>
    <w:rsid w:val="67AF4339"/>
    <w:rsid w:val="67EDE8A3"/>
    <w:rsid w:val="69BE646C"/>
    <w:rsid w:val="6AFF5C1C"/>
    <w:rsid w:val="6B250C00"/>
    <w:rsid w:val="6D7B4829"/>
    <w:rsid w:val="6D7E9070"/>
    <w:rsid w:val="6EAEF9CB"/>
    <w:rsid w:val="6EBFDC63"/>
    <w:rsid w:val="6FEA9AE3"/>
    <w:rsid w:val="6FFB24D4"/>
    <w:rsid w:val="71AA0EBC"/>
    <w:rsid w:val="74C7DB59"/>
    <w:rsid w:val="77FD6526"/>
    <w:rsid w:val="77FFB20A"/>
    <w:rsid w:val="797768F6"/>
    <w:rsid w:val="79AF43A5"/>
    <w:rsid w:val="7BFE7947"/>
    <w:rsid w:val="7CFF8DCD"/>
    <w:rsid w:val="7D2FED91"/>
    <w:rsid w:val="7DE34D90"/>
    <w:rsid w:val="7DFFCDFE"/>
    <w:rsid w:val="7F6F4AC7"/>
    <w:rsid w:val="7F87C4BD"/>
    <w:rsid w:val="7F9F2C06"/>
    <w:rsid w:val="7FDEF960"/>
    <w:rsid w:val="7FDFAAC6"/>
    <w:rsid w:val="7FE7AA9E"/>
    <w:rsid w:val="7FFC52DA"/>
    <w:rsid w:val="7FFE1B91"/>
    <w:rsid w:val="8B8F6C31"/>
    <w:rsid w:val="98B706E3"/>
    <w:rsid w:val="9EF3A1C1"/>
    <w:rsid w:val="9F6FA7E7"/>
    <w:rsid w:val="9FAF0D46"/>
    <w:rsid w:val="9FE2EDE0"/>
    <w:rsid w:val="ADFF6161"/>
    <w:rsid w:val="B1963C36"/>
    <w:rsid w:val="B3F356B0"/>
    <w:rsid w:val="B3FF803B"/>
    <w:rsid w:val="BBDBCCCC"/>
    <w:rsid w:val="BDFFAA08"/>
    <w:rsid w:val="BEE530A1"/>
    <w:rsid w:val="BFDB8F82"/>
    <w:rsid w:val="BFFFD335"/>
    <w:rsid w:val="C5F3CE5C"/>
    <w:rsid w:val="D7FC4639"/>
    <w:rsid w:val="DEF540DD"/>
    <w:rsid w:val="DF464AB1"/>
    <w:rsid w:val="DF7D2050"/>
    <w:rsid w:val="DFEFD3D3"/>
    <w:rsid w:val="DFFD0C78"/>
    <w:rsid w:val="E7DB4071"/>
    <w:rsid w:val="EDFEBC4B"/>
    <w:rsid w:val="EFDF7EDD"/>
    <w:rsid w:val="F5DD4BA9"/>
    <w:rsid w:val="F5FFBE54"/>
    <w:rsid w:val="F67B5118"/>
    <w:rsid w:val="F73F5DAE"/>
    <w:rsid w:val="F7973F23"/>
    <w:rsid w:val="F7FD1E1D"/>
    <w:rsid w:val="F9BBE424"/>
    <w:rsid w:val="FB2ED442"/>
    <w:rsid w:val="FBDDC5C8"/>
    <w:rsid w:val="FC3701A9"/>
    <w:rsid w:val="FCDF08B2"/>
    <w:rsid w:val="FDDF00A2"/>
    <w:rsid w:val="FE6EF592"/>
    <w:rsid w:val="FEDBB6E7"/>
    <w:rsid w:val="FEF5DEAA"/>
    <w:rsid w:val="FFBDA89C"/>
    <w:rsid w:val="FFD7C0F9"/>
    <w:rsid w:val="FFEB7001"/>
    <w:rsid w:val="FFEFEFC3"/>
    <w:rsid w:val="FFFB9C8F"/>
    <w:rsid w:val="FFFFA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line="700" w:lineRule="exact"/>
      <w:jc w:val="center"/>
      <w:outlineLvl w:val="0"/>
    </w:pPr>
    <w:rPr>
      <w:rFonts w:ascii="方正小标宋简体" w:hAnsi="方正小标宋简体" w:eastAsia="方正小标宋简体" w:cs="方正小标宋简体"/>
      <w:spacing w:val="23"/>
      <w:sz w:val="40"/>
      <w:szCs w:val="40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semiHidden/>
    <w:unhideWhenUsed/>
    <w:qFormat/>
    <w:uiPriority w:val="99"/>
  </w:style>
  <w:style w:type="paragraph" w:styleId="5">
    <w:name w:val="footer"/>
    <w:basedOn w:val="1"/>
    <w:link w:val="14"/>
    <w:unhideWhenUsed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kern w:val="2"/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paragraph" w:styleId="7">
    <w:name w:val="annotation subject"/>
    <w:basedOn w:val="4"/>
    <w:next w:val="4"/>
    <w:link w:val="18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3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页脚 字符"/>
    <w:basedOn w:val="10"/>
    <w:link w:val="5"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paragraph" w:customStyle="1" w:styleId="16">
    <w:name w:val="修订1"/>
    <w:hidden/>
    <w:semiHidden/>
    <w:qFormat/>
    <w:uiPriority w:val="99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customStyle="1" w:styleId="17">
    <w:name w:val="批注文字 字符"/>
    <w:basedOn w:val="10"/>
    <w:link w:val="4"/>
    <w:semiHidden/>
    <w:qFormat/>
    <w:uiPriority w:val="99"/>
    <w:rPr>
      <w:rFonts w:asciiTheme="minorHAnsi" w:hAnsiTheme="minorHAnsi" w:eastAsiaTheme="minorEastAsia" w:cstheme="minorBidi"/>
      <w:sz w:val="22"/>
      <w:szCs w:val="22"/>
    </w:rPr>
  </w:style>
  <w:style w:type="character" w:customStyle="1" w:styleId="18">
    <w:name w:val="批注主题 字符"/>
    <w:basedOn w:val="17"/>
    <w:link w:val="7"/>
    <w:semiHidden/>
    <w:qFormat/>
    <w:uiPriority w:val="99"/>
    <w:rPr>
      <w:rFonts w:asciiTheme="minorHAnsi" w:hAnsiTheme="minorHAnsi" w:eastAsiaTheme="minorEastAsia" w:cstheme="minorBidi"/>
      <w:b/>
      <w:bCs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39A8BFF-2CCF-4513-9D4D-60499D25B3C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924</Words>
  <Characters>929</Characters>
  <Lines>43</Lines>
  <Paragraphs>12</Paragraphs>
  <TotalTime>6</TotalTime>
  <ScaleCrop>false</ScaleCrop>
  <LinksUpToDate>false</LinksUpToDate>
  <CharactersWithSpaces>929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2026-10-22T07:55:00Z</dcterms:created>
  <dc:creator>administrator1</dc:creator>
  <cp:lastModifiedBy>admin</cp:lastModifiedBy>
  <cp:lastPrinted>2024-12-20T02:16:00Z</cp:lastPrinted>
  <dcterms:modified xsi:type="dcterms:W3CDTF">2026-10-22T09:46:09Z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6D9BAB6B853D4FF687AC54D4610887CD_13</vt:lpwstr>
  </property>
  <property fmtid="{D5CDD505-2E9C-101B-9397-08002B2CF9AE}" pid="4" name="KSOTemplateDocerSaveRecord">
    <vt:lpwstr>eyJoZGlkIjoiNGNmNjVkMzZlMzA3ZjAxNDZlODlhNzFiYTJkZGE2NGYiLCJ1c2VySWQiOiIyNzI0MzA1NjUifQ==</vt:lpwstr>
  </property>
</Properties>
</file>