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9D2B2">
      <w:pPr>
        <w:rPr>
          <w:rFonts w:ascii="宋体" w:hAnsi="宋体" w:cs="宋体"/>
          <w:b/>
          <w:sz w:val="44"/>
          <w:szCs w:val="44"/>
          <w:lang w:bidi="ar"/>
        </w:rPr>
      </w:pPr>
    </w:p>
    <w:p w14:paraId="72258A70">
      <w:pPr>
        <w:pStyle w:val="2"/>
      </w:pPr>
    </w:p>
    <w:p w14:paraId="2A13F65B">
      <w:pPr>
        <w:jc w:val="center"/>
        <w:rPr>
          <w:rFonts w:hint="eastAsia" w:ascii="宋体" w:hAnsi="宋体" w:eastAsia="宋体" w:cs="宋体"/>
          <w:b/>
          <w:kern w:val="0"/>
          <w:sz w:val="44"/>
          <w:szCs w:val="44"/>
          <w:highlight w:val="none"/>
          <w:lang w:val="zh-CN"/>
        </w:rPr>
      </w:pPr>
      <w:r>
        <w:rPr>
          <w:rFonts w:hint="eastAsia" w:ascii="宋体" w:hAnsi="宋体" w:eastAsia="宋体" w:cs="宋体"/>
          <w:b/>
          <w:kern w:val="0"/>
          <w:sz w:val="44"/>
          <w:szCs w:val="44"/>
          <w:highlight w:val="none"/>
          <w:lang w:val="zh-CN"/>
        </w:rPr>
        <w:t>项目支出绩效自评报告</w:t>
      </w:r>
    </w:p>
    <w:p w14:paraId="07E23A7A">
      <w:pPr>
        <w:jc w:val="center"/>
        <w:rPr>
          <w:rFonts w:ascii="宋体" w:hAnsi="宋体" w:cs="宋体"/>
          <w:b/>
          <w:sz w:val="44"/>
          <w:szCs w:val="44"/>
          <w:highlight w:val="none"/>
          <w:lang w:bidi="ar"/>
        </w:rPr>
      </w:pPr>
    </w:p>
    <w:p w14:paraId="4D7CD22C">
      <w:pPr>
        <w:jc w:val="center"/>
        <w:rPr>
          <w:rFonts w:ascii="宋体" w:hAnsi="宋体" w:cs="宋体"/>
          <w:b/>
          <w:sz w:val="44"/>
          <w:szCs w:val="44"/>
          <w:highlight w:val="none"/>
          <w:lang w:bidi="ar"/>
        </w:rPr>
      </w:pPr>
    </w:p>
    <w:p w14:paraId="4BD8CCF9">
      <w:pPr>
        <w:jc w:val="center"/>
        <w:rPr>
          <w:rFonts w:ascii="宋体" w:hAnsi="宋体" w:cs="宋体"/>
          <w:b/>
          <w:sz w:val="44"/>
          <w:szCs w:val="44"/>
          <w:highlight w:val="none"/>
          <w:lang w:bidi="ar"/>
        </w:rPr>
      </w:pPr>
    </w:p>
    <w:p w14:paraId="5D4EDC24">
      <w:pPr>
        <w:jc w:val="center"/>
        <w:rPr>
          <w:rFonts w:ascii="宋体" w:hAnsi="宋体" w:cs="宋体"/>
          <w:b/>
          <w:sz w:val="44"/>
          <w:szCs w:val="44"/>
          <w:highlight w:val="none"/>
          <w:lang w:bidi="ar"/>
        </w:rPr>
      </w:pPr>
    </w:p>
    <w:p w14:paraId="13F7F2FC">
      <w:pPr>
        <w:jc w:val="center"/>
        <w:rPr>
          <w:rFonts w:ascii="宋体" w:hAnsi="宋体" w:cs="宋体"/>
          <w:b/>
          <w:sz w:val="44"/>
          <w:szCs w:val="44"/>
          <w:highlight w:val="none"/>
          <w:lang w:bidi="ar"/>
        </w:rPr>
      </w:pPr>
    </w:p>
    <w:p w14:paraId="187C228B">
      <w:pPr>
        <w:jc w:val="center"/>
        <w:rPr>
          <w:rFonts w:ascii="宋体" w:hAnsi="宋体" w:cs="宋体"/>
          <w:b/>
          <w:sz w:val="44"/>
          <w:szCs w:val="44"/>
          <w:highlight w:val="none"/>
          <w:lang w:bidi="ar"/>
        </w:rPr>
      </w:pPr>
    </w:p>
    <w:p w14:paraId="191F21C8">
      <w:pPr>
        <w:jc w:val="center"/>
        <w:rPr>
          <w:rFonts w:ascii="宋体" w:hAnsi="宋体" w:cs="宋体"/>
          <w:b/>
          <w:sz w:val="44"/>
          <w:szCs w:val="44"/>
          <w:highlight w:val="none"/>
          <w:lang w:bidi="ar"/>
        </w:rPr>
      </w:pPr>
    </w:p>
    <w:p w14:paraId="453A2699">
      <w:pPr>
        <w:jc w:val="left"/>
        <w:rPr>
          <w:rFonts w:hint="eastAsia" w:ascii="仿宋_GB2312" w:hAnsi="宋体" w:eastAsia="仿宋_GB2312" w:cs="宋体"/>
          <w:sz w:val="32"/>
          <w:szCs w:val="32"/>
          <w:highlight w:val="none"/>
          <w:lang w:eastAsia="zh-CN" w:bidi="ar"/>
        </w:rPr>
      </w:pPr>
      <w:r>
        <w:rPr>
          <w:rFonts w:hint="eastAsia" w:ascii="仿宋_GB2312" w:hAnsi="宋体" w:eastAsia="仿宋_GB2312" w:cs="宋体"/>
          <w:sz w:val="32"/>
          <w:szCs w:val="32"/>
          <w:highlight w:val="none"/>
          <w:lang w:bidi="ar"/>
        </w:rPr>
        <w:t>项目名称：</w:t>
      </w:r>
      <w:r>
        <w:rPr>
          <w:rFonts w:hint="eastAsia" w:ascii="仿宋_GB2312" w:hAnsi="宋体" w:eastAsia="仿宋_GB2312" w:cs="宋体"/>
          <w:sz w:val="32"/>
          <w:szCs w:val="32"/>
          <w:highlight w:val="none"/>
          <w:lang w:eastAsia="zh-CN" w:bidi="ar"/>
        </w:rPr>
        <w:t>巩固拓展脱贫攻坚成果</w:t>
      </w:r>
    </w:p>
    <w:p w14:paraId="0F847392">
      <w:pPr>
        <w:jc w:val="left"/>
        <w:rPr>
          <w:rFonts w:hint="eastAsia" w:ascii="仿宋_GB2312" w:hAnsi="宋体" w:eastAsia="仿宋_GB2312" w:cs="宋体"/>
          <w:sz w:val="32"/>
          <w:szCs w:val="32"/>
          <w:highlight w:val="none"/>
          <w:lang w:eastAsia="zh-CN" w:bidi="ar"/>
        </w:rPr>
      </w:pPr>
      <w:r>
        <w:rPr>
          <w:rFonts w:hint="eastAsia" w:ascii="仿宋_GB2312" w:hAnsi="宋体" w:eastAsia="仿宋_GB2312" w:cs="宋体"/>
          <w:sz w:val="32"/>
          <w:szCs w:val="32"/>
          <w:highlight w:val="none"/>
          <w:lang w:eastAsia="zh-CN" w:bidi="ar"/>
        </w:rPr>
        <w:t>市级</w:t>
      </w:r>
      <w:r>
        <w:rPr>
          <w:rFonts w:hint="eastAsia" w:ascii="仿宋_GB2312" w:hAnsi="宋体" w:eastAsia="仿宋_GB2312" w:cs="宋体"/>
          <w:sz w:val="32"/>
          <w:szCs w:val="32"/>
          <w:highlight w:val="none"/>
          <w:lang w:bidi="ar"/>
        </w:rPr>
        <w:t>预算部门：</w:t>
      </w:r>
      <w:r>
        <w:rPr>
          <w:rFonts w:hint="eastAsia" w:ascii="仿宋_GB2312" w:hAnsi="宋体" w:eastAsia="仿宋_GB2312" w:cs="宋体"/>
          <w:sz w:val="32"/>
          <w:szCs w:val="32"/>
          <w:highlight w:val="none"/>
          <w:lang w:eastAsia="zh-CN" w:bidi="ar"/>
        </w:rPr>
        <w:t>江门市农业农村局</w:t>
      </w:r>
    </w:p>
    <w:p w14:paraId="3AAC6783">
      <w:pPr>
        <w:jc w:val="left"/>
        <w:rPr>
          <w:rFonts w:hint="eastAsia" w:ascii="仿宋_GB2312" w:hAnsi="宋体" w:eastAsia="仿宋_GB2312" w:cs="宋体"/>
          <w:sz w:val="32"/>
          <w:szCs w:val="32"/>
          <w:highlight w:val="none"/>
          <w:lang w:eastAsia="zh-CN" w:bidi="ar"/>
        </w:rPr>
      </w:pPr>
      <w:r>
        <w:rPr>
          <w:rFonts w:hint="eastAsia" w:ascii="仿宋_GB2312" w:hAnsi="宋体" w:eastAsia="仿宋_GB2312" w:cs="宋体"/>
          <w:sz w:val="32"/>
          <w:szCs w:val="32"/>
          <w:highlight w:val="none"/>
          <w:lang w:bidi="ar"/>
        </w:rPr>
        <w:t>填报人姓名：</w:t>
      </w:r>
      <w:r>
        <w:rPr>
          <w:rFonts w:hint="eastAsia" w:ascii="仿宋_GB2312" w:hAnsi="宋体" w:eastAsia="仿宋_GB2312" w:cs="宋体"/>
          <w:sz w:val="32"/>
          <w:szCs w:val="32"/>
          <w:highlight w:val="none"/>
          <w:lang w:eastAsia="zh-CN" w:bidi="ar"/>
        </w:rPr>
        <w:t>廖雅君</w:t>
      </w:r>
    </w:p>
    <w:p w14:paraId="0812217B">
      <w:pPr>
        <w:jc w:val="left"/>
        <w:rPr>
          <w:rFonts w:hint="default" w:ascii="仿宋_GB2312" w:hAnsi="宋体" w:eastAsia="仿宋_GB2312" w:cs="宋体"/>
          <w:sz w:val="32"/>
          <w:szCs w:val="32"/>
          <w:highlight w:val="none"/>
          <w:lang w:val="en-US" w:eastAsia="zh-CN" w:bidi="ar"/>
        </w:rPr>
      </w:pPr>
      <w:r>
        <w:rPr>
          <w:rFonts w:hint="eastAsia" w:ascii="仿宋_GB2312" w:hAnsi="宋体" w:eastAsia="仿宋_GB2312" w:cs="宋体"/>
          <w:sz w:val="32"/>
          <w:szCs w:val="32"/>
          <w:highlight w:val="none"/>
          <w:lang w:bidi="ar"/>
        </w:rPr>
        <w:t>联系电话：</w:t>
      </w:r>
      <w:r>
        <w:rPr>
          <w:rFonts w:hint="eastAsia" w:ascii="仿宋_GB2312" w:hAnsi="宋体" w:eastAsia="仿宋_GB2312" w:cs="宋体"/>
          <w:sz w:val="32"/>
          <w:szCs w:val="32"/>
          <w:highlight w:val="none"/>
          <w:lang w:val="en-US" w:eastAsia="zh-CN" w:bidi="ar"/>
        </w:rPr>
        <w:t>0750-3887690</w:t>
      </w:r>
    </w:p>
    <w:p w14:paraId="7D57991A">
      <w:pPr>
        <w:jc w:val="left"/>
        <w:rPr>
          <w:rFonts w:hint="default" w:ascii="仿宋_GB2312" w:hAnsi="宋体" w:eastAsia="仿宋_GB2312" w:cs="宋体"/>
          <w:sz w:val="32"/>
          <w:szCs w:val="32"/>
          <w:highlight w:val="none"/>
          <w:lang w:val="en-US" w:eastAsia="zh-CN" w:bidi="ar"/>
        </w:rPr>
      </w:pPr>
      <w:r>
        <w:rPr>
          <w:rFonts w:hint="eastAsia" w:ascii="仿宋_GB2312" w:hAnsi="宋体" w:eastAsia="仿宋_GB2312" w:cs="宋体"/>
          <w:sz w:val="32"/>
          <w:szCs w:val="32"/>
          <w:highlight w:val="none"/>
          <w:lang w:bidi="ar"/>
        </w:rPr>
        <w:t>填报日期：</w:t>
      </w:r>
      <w:r>
        <w:rPr>
          <w:rFonts w:hint="eastAsia" w:ascii="仿宋_GB2312" w:hAnsi="宋体" w:eastAsia="仿宋_GB2312" w:cs="宋体"/>
          <w:sz w:val="32"/>
          <w:szCs w:val="32"/>
          <w:highlight w:val="none"/>
          <w:lang w:val="en-US" w:eastAsia="zh-CN" w:bidi="ar"/>
        </w:rPr>
        <w:t>2026年3月18日</w:t>
      </w:r>
    </w:p>
    <w:p w14:paraId="0DEED39D">
      <w:pPr>
        <w:ind w:firstLine="0" w:firstLineChars="0"/>
        <w:outlineLvl w:val="9"/>
        <w:rPr>
          <w:rFonts w:hint="eastAsia" w:ascii="仿宋_GB2312" w:hAnsi="Calibri" w:eastAsia="仿宋_GB2312" w:cs="仿宋_GB2312"/>
          <w:b/>
          <w:sz w:val="32"/>
          <w:szCs w:val="32"/>
          <w:highlight w:val="none"/>
          <w:lang w:bidi="ar"/>
        </w:rPr>
      </w:pPr>
      <w:r>
        <w:rPr>
          <w:rFonts w:hint="eastAsia" w:ascii="仿宋_GB2312" w:hAnsi="Calibri" w:eastAsia="仿宋_GB2312" w:cs="仿宋_GB2312"/>
          <w:b/>
          <w:sz w:val="32"/>
          <w:szCs w:val="32"/>
          <w:highlight w:val="none"/>
          <w:lang w:bidi="ar"/>
        </w:rPr>
        <w:br w:type="page"/>
      </w:r>
    </w:p>
    <w:p w14:paraId="57F1FB75">
      <w:pPr>
        <w:spacing w:line="580" w:lineRule="exact"/>
        <w:ind w:firstLine="640" w:firstLineChars="200"/>
        <w:outlineLvl w:val="9"/>
        <w:rPr>
          <w:rFonts w:hint="eastAsia" w:ascii="国标黑体" w:hAnsi="国标黑体" w:eastAsia="国标黑体" w:cs="国标黑体"/>
          <w:b w:val="0"/>
          <w:sz w:val="32"/>
          <w:szCs w:val="32"/>
        </w:rPr>
      </w:pPr>
      <w:r>
        <w:rPr>
          <w:rFonts w:hint="eastAsia" w:ascii="国标黑体" w:hAnsi="国标黑体" w:eastAsia="国标黑体" w:cs="国标黑体"/>
          <w:b w:val="0"/>
          <w:sz w:val="32"/>
          <w:szCs w:val="32"/>
          <w:lang w:bidi="ar"/>
        </w:rPr>
        <w:t>一、项目概况</w:t>
      </w:r>
    </w:p>
    <w:p w14:paraId="1898F420">
      <w:pPr>
        <w:spacing w:line="580" w:lineRule="exact"/>
        <w:ind w:firstLine="640" w:firstLineChars="200"/>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2021年2月，宣布</w:t>
      </w:r>
      <w:r>
        <w:rPr>
          <w:rFonts w:hint="eastAsia" w:ascii="仿宋_GB2312" w:hAnsi="仿宋_GB2312" w:eastAsia="仿宋_GB2312" w:cs="仿宋_GB2312"/>
          <w:b w:val="0"/>
          <w:bCs w:val="0"/>
          <w:sz w:val="32"/>
          <w:szCs w:val="32"/>
          <w:lang w:eastAsia="zh-CN"/>
        </w:rPr>
        <w:t>脱贫攻坚全面胜利后，党中央设立</w:t>
      </w:r>
      <w:r>
        <w:rPr>
          <w:rFonts w:hint="eastAsia" w:ascii="仿宋_GB2312" w:hAnsi="仿宋_GB2312" w:eastAsia="仿宋_GB2312" w:cs="仿宋_GB2312"/>
          <w:b w:val="0"/>
          <w:bCs w:val="0"/>
          <w:sz w:val="32"/>
          <w:szCs w:val="32"/>
          <w:lang w:val="en-US" w:eastAsia="zh-CN"/>
        </w:rPr>
        <w:t>5年过渡期，</w:t>
      </w:r>
      <w:r>
        <w:rPr>
          <w:rFonts w:hint="eastAsia" w:ascii="仿宋_GB2312" w:hAnsi="仿宋_GB2312" w:eastAsia="仿宋_GB2312" w:cs="仿宋_GB2312"/>
          <w:b w:val="0"/>
          <w:bCs w:val="0"/>
          <w:sz w:val="32"/>
          <w:szCs w:val="32"/>
        </w:rPr>
        <w:t>我市贯彻中央和省委决策部署，严格落实“四个不摘”要求，2021-2025年，我市自行组织实施本市巩固拓展脱贫攻坚成果同乡村振兴有效衔接，不用对口帮扶粤东西北地区</w:t>
      </w:r>
      <w:r>
        <w:rPr>
          <w:rFonts w:hint="eastAsia" w:ascii="仿宋_GB2312" w:hAnsi="仿宋_GB2312" w:eastAsia="仿宋_GB2312" w:cs="仿宋_GB2312"/>
          <w:b w:val="0"/>
          <w:bCs w:val="0"/>
          <w:sz w:val="32"/>
          <w:szCs w:val="32"/>
          <w:lang w:eastAsia="zh-CN"/>
        </w:rPr>
        <w:t>。过渡期内维持东西部协作</w:t>
      </w:r>
      <w:r>
        <w:rPr>
          <w:rFonts w:hint="eastAsia" w:ascii="仿宋_GB2312" w:hAnsi="仿宋_GB2312" w:eastAsia="仿宋_GB2312" w:cs="仿宋_GB2312"/>
          <w:b w:val="0"/>
          <w:bCs w:val="0"/>
          <w:sz w:val="32"/>
          <w:szCs w:val="32"/>
        </w:rPr>
        <w:t>对口广西崇左大新县、天等县、宁明县、龙州县</w:t>
      </w:r>
      <w:r>
        <w:rPr>
          <w:rFonts w:hint="eastAsia" w:ascii="仿宋_GB2312" w:hAnsi="仿宋_GB2312" w:eastAsia="仿宋_GB2312" w:cs="仿宋_GB2312"/>
          <w:b w:val="0"/>
          <w:bCs w:val="0"/>
          <w:sz w:val="32"/>
          <w:szCs w:val="32"/>
          <w:lang w:val="en-US" w:eastAsia="zh-CN"/>
        </w:rPr>
        <w:t>4个县的结对关系，</w:t>
      </w:r>
      <w:r>
        <w:rPr>
          <w:rFonts w:hint="eastAsia" w:ascii="仿宋_GB2312" w:hAnsi="仿宋_GB2312" w:eastAsia="仿宋_GB2312" w:cs="仿宋_GB2312"/>
          <w:b w:val="0"/>
          <w:bCs w:val="0"/>
          <w:sz w:val="32"/>
          <w:szCs w:val="32"/>
        </w:rPr>
        <w:t>深化协作事项，实现共同发展、共同富裕。</w:t>
      </w:r>
      <w:r>
        <w:rPr>
          <w:rFonts w:hint="eastAsia" w:ascii="仿宋_GB2312" w:hAnsi="仿宋_GB2312" w:eastAsia="仿宋_GB2312" w:cs="仿宋_GB2312"/>
          <w:b w:val="0"/>
          <w:bCs w:val="0"/>
          <w:sz w:val="32"/>
          <w:szCs w:val="32"/>
          <w:lang w:eastAsia="zh-CN"/>
        </w:rPr>
        <w:t>同年，省委省政府开展驻镇帮镇扶村工作，我市没有省定重点帮扶镇和巩固提升镇</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同时也没有省内对口帮扶任务，由我市</w:t>
      </w:r>
      <w:r>
        <w:rPr>
          <w:rFonts w:hint="eastAsia" w:ascii="仿宋_GB2312" w:hAnsi="仿宋_GB2312" w:eastAsia="仿宋_GB2312" w:cs="仿宋_GB2312"/>
          <w:b w:val="0"/>
          <w:bCs w:val="0"/>
          <w:sz w:val="32"/>
          <w:szCs w:val="32"/>
        </w:rPr>
        <w:t>自行制定工作方案，</w:t>
      </w:r>
      <w:r>
        <w:rPr>
          <w:rFonts w:hint="eastAsia" w:ascii="仿宋_GB2312" w:hAnsi="仿宋_GB2312" w:eastAsia="仿宋_GB2312" w:cs="仿宋_GB2312"/>
          <w:b w:val="0"/>
          <w:bCs w:val="0"/>
          <w:sz w:val="32"/>
          <w:szCs w:val="32"/>
          <w:lang w:eastAsia="zh-CN"/>
        </w:rPr>
        <w:t>开展自帮自扶。我市工作方案</w:t>
      </w:r>
      <w:r>
        <w:rPr>
          <w:rFonts w:hint="eastAsia" w:ascii="仿宋_GB2312" w:hAnsi="仿宋_GB2312" w:eastAsia="仿宋_GB2312" w:cs="仿宋_GB2312"/>
          <w:b w:val="0"/>
          <w:bCs w:val="0"/>
          <w:sz w:val="32"/>
          <w:szCs w:val="32"/>
        </w:rPr>
        <w:t>以镇为单位开展“党政机关+企事业单位+N”的组团结对帮扶和分级分类帮扶模式，将全市61个乡镇及有行政村的9个街道办合计70个镇（街）（除环市街道办、白沙街道办、江南街道办外）划分为重点帮扶镇和巩固提升镇两类，其中，重点帮扶镇30个由市牵头组团帮扶，巩固提升镇40个（含31个镇，9个街道办）由属地自行开展组团帮扶，加快推进巩固拓展脱贫攻坚成果同乡村全面振兴有效衔接，进一步巩固脱贫攻坚成果，防止发生规模性返贫，实现乡村同治同建同美，实现富裕富足。</w:t>
      </w:r>
    </w:p>
    <w:p w14:paraId="5D74CE6A">
      <w:pPr>
        <w:spacing w:line="580" w:lineRule="exact"/>
        <w:ind w:firstLine="640" w:firstLineChars="200"/>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根据《江门市关于扎实推进巩固拓展脱贫攻坚成果同乡村振兴有效衔接的实施方案》（江乡振组〔2021〕6号）、《江门市乡村振兴驻镇帮镇扶村工作方案》（江乡振组〔2021〕13号）</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《江门市2021-2025年衔接推进乡村振兴专项资金管理办法》（江农农〔2022〕29号）</w:t>
      </w:r>
      <w:r>
        <w:rPr>
          <w:rFonts w:hint="eastAsia" w:ascii="仿宋_GB2312" w:hAnsi="仿宋_GB2312" w:eastAsia="仿宋_GB2312" w:cs="仿宋_GB2312"/>
          <w:b w:val="0"/>
          <w:bCs w:val="0"/>
          <w:sz w:val="32"/>
          <w:szCs w:val="32"/>
          <w:lang w:eastAsia="zh-CN"/>
        </w:rPr>
        <w:t>以及</w:t>
      </w:r>
      <w:r>
        <w:rPr>
          <w:rFonts w:hint="eastAsia" w:ascii="仿宋_GB2312" w:hAnsi="仿宋_GB2312" w:eastAsia="仿宋_GB2312" w:cs="仿宋_GB2312"/>
          <w:b w:val="0"/>
          <w:bCs w:val="0"/>
          <w:sz w:val="32"/>
          <w:szCs w:val="32"/>
          <w:lang w:val="en-US" w:eastAsia="zh-CN"/>
        </w:rPr>
        <w:t>2024年集中修订的</w:t>
      </w:r>
      <w:r>
        <w:rPr>
          <w:rFonts w:hint="eastAsia" w:ascii="仿宋_GB2312" w:hAnsi="仿宋_GB2312" w:eastAsia="仿宋_GB2312" w:cs="仿宋_GB2312"/>
          <w:b w:val="0"/>
          <w:bCs w:val="0"/>
          <w:sz w:val="32"/>
          <w:szCs w:val="32"/>
        </w:rPr>
        <w:t>《江门市衔接推进乡村振兴专项资金管理办法（修订）》</w:t>
      </w:r>
      <w:r>
        <w:rPr>
          <w:rFonts w:hint="eastAsia" w:ascii="仿宋_GB2312" w:hAnsi="仿宋_GB2312" w:eastAsia="仿宋_GB2312" w:cs="仿宋_GB2312"/>
          <w:b w:val="0"/>
          <w:bCs w:val="0"/>
          <w:sz w:val="32"/>
          <w:szCs w:val="32"/>
          <w:lang w:eastAsia="zh-CN"/>
        </w:rPr>
        <w:t>（江财农〔2024〕60号）</w:t>
      </w:r>
      <w:r>
        <w:rPr>
          <w:rFonts w:hint="eastAsia" w:ascii="仿宋_GB2312" w:hAnsi="仿宋_GB2312" w:eastAsia="仿宋_GB2312" w:cs="仿宋_GB2312"/>
          <w:b w:val="0"/>
          <w:bCs w:val="0"/>
          <w:sz w:val="32"/>
          <w:szCs w:val="32"/>
        </w:rPr>
        <w:t>文件精神，在2020年底完成脱贫攻坚目标任务后，把原城乡精准扶贫精准脱贫专项资金调整为衔接推进乡村振兴专项资金</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继续实施市本级和各县（市、区）按一般公共预算收入一定比例（市本级、蓬江区、江海区、新会区和鹤山市按0.4%上缴，台山市、开平市按0.3%上缴，恩平市0.2%上缴）的办法筹集</w:t>
      </w:r>
      <w:r>
        <w:rPr>
          <w:rFonts w:hint="eastAsia" w:ascii="仿宋_GB2312" w:hAnsi="仿宋_GB2312" w:eastAsia="仿宋_GB2312" w:cs="仿宋_GB2312"/>
          <w:b w:val="0"/>
          <w:bCs w:val="0"/>
          <w:sz w:val="32"/>
          <w:szCs w:val="32"/>
          <w:lang w:eastAsia="zh-CN"/>
        </w:rPr>
        <w:t>专项</w:t>
      </w:r>
      <w:r>
        <w:rPr>
          <w:rFonts w:hint="eastAsia" w:ascii="仿宋_GB2312" w:hAnsi="仿宋_GB2312" w:eastAsia="仿宋_GB2312" w:cs="仿宋_GB2312"/>
          <w:b w:val="0"/>
          <w:bCs w:val="0"/>
          <w:sz w:val="32"/>
          <w:szCs w:val="32"/>
        </w:rPr>
        <w:t>资金</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资金支持</w:t>
      </w:r>
      <w:r>
        <w:rPr>
          <w:rFonts w:hint="eastAsia" w:ascii="仿宋_GB2312" w:hAnsi="仿宋_GB2312" w:eastAsia="仿宋_GB2312" w:cs="仿宋_GB2312"/>
          <w:b w:val="0"/>
          <w:bCs w:val="0"/>
          <w:sz w:val="32"/>
          <w:szCs w:val="32"/>
          <w:lang w:eastAsia="zh-CN"/>
        </w:rPr>
        <w:t>我市驻镇帮镇扶村工作，同时</w:t>
      </w:r>
      <w:r>
        <w:rPr>
          <w:rFonts w:hint="eastAsia" w:ascii="仿宋_GB2312" w:hAnsi="仿宋_GB2312" w:eastAsia="仿宋_GB2312" w:cs="仿宋_GB2312"/>
          <w:b w:val="0"/>
          <w:bCs w:val="0"/>
          <w:sz w:val="32"/>
          <w:szCs w:val="32"/>
        </w:rPr>
        <w:t>巩固拓展对口帮扶协作成果。</w:t>
      </w:r>
    </w:p>
    <w:p w14:paraId="40BB7A10">
      <w:pPr>
        <w:spacing w:line="580" w:lineRule="exact"/>
        <w:ind w:firstLine="640" w:firstLineChars="200"/>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2021-2025年市本级投入20444.29万元，各县（市、区）上缴20308.33万元，2020年结转扶贫基金2012.8万元。截至2025年12月底，已分配42438.91万元，结余330.51万元（含退款4万元），实现收支平衡，略有结余。</w:t>
      </w:r>
    </w:p>
    <w:p w14:paraId="5DB0805F">
      <w:pPr>
        <w:spacing w:line="580" w:lineRule="exact"/>
        <w:ind w:firstLine="640" w:firstLineChars="200"/>
        <w:outlineLvl w:val="9"/>
        <w:rPr>
          <w:rFonts w:hint="eastAsia" w:ascii="国标黑体" w:hAnsi="国标黑体" w:eastAsia="国标黑体" w:cs="国标黑体"/>
          <w:b w:val="0"/>
          <w:bCs w:val="0"/>
          <w:sz w:val="32"/>
          <w:szCs w:val="32"/>
          <w:lang w:bidi="ar"/>
        </w:rPr>
      </w:pPr>
      <w:r>
        <w:rPr>
          <w:rFonts w:hint="eastAsia" w:ascii="国标黑体" w:hAnsi="国标黑体" w:eastAsia="国标黑体" w:cs="国标黑体"/>
          <w:b w:val="0"/>
          <w:bCs w:val="0"/>
          <w:sz w:val="32"/>
          <w:szCs w:val="32"/>
          <w:lang w:bidi="ar"/>
        </w:rPr>
        <w:t>二、项目组织实施情况</w:t>
      </w:r>
    </w:p>
    <w:p w14:paraId="4F9C27A0">
      <w:pPr>
        <w:snapToGrid/>
        <w:spacing w:line="580" w:lineRule="exact"/>
        <w:ind w:firstLine="641" w:firstLineChars="200"/>
        <w:rPr>
          <w:rFonts w:hint="eastAsia" w:ascii="仿宋_GB2312" w:hAnsi="仿宋_GB2312" w:eastAsia="仿宋_GB2312" w:cs="仿宋_GB2312"/>
          <w:sz w:val="32"/>
          <w:szCs w:val="32"/>
        </w:rPr>
      </w:pPr>
      <w:r>
        <w:rPr>
          <w:rFonts w:hint="eastAsia" w:ascii="华文楷体" w:hAnsi="华文楷体" w:eastAsia="华文楷体" w:cs="华文楷体"/>
          <w:b/>
          <w:bCs/>
          <w:sz w:val="32"/>
          <w:szCs w:val="32"/>
        </w:rPr>
        <w:t>（一）</w:t>
      </w:r>
      <w:r>
        <w:rPr>
          <w:rFonts w:hint="eastAsia" w:ascii="华文楷体" w:hAnsi="华文楷体" w:eastAsia="华文楷体" w:cs="华文楷体"/>
          <w:b/>
          <w:bCs/>
          <w:sz w:val="32"/>
          <w:szCs w:val="32"/>
          <w:lang w:eastAsia="zh-CN"/>
        </w:rPr>
        <w:t>立项管理</w:t>
      </w:r>
      <w:r>
        <w:rPr>
          <w:rFonts w:hint="eastAsia" w:ascii="华文楷体" w:hAnsi="华文楷体" w:eastAsia="华文楷体" w:cs="华文楷体"/>
          <w:b/>
          <w:bCs/>
          <w:sz w:val="32"/>
          <w:szCs w:val="32"/>
        </w:rPr>
        <w:t>。</w:t>
      </w:r>
      <w:r>
        <w:rPr>
          <w:rFonts w:hint="eastAsia" w:ascii="仿宋_GB2312" w:hAnsi="仿宋_GB2312" w:eastAsia="仿宋_GB2312" w:cs="仿宋_GB2312"/>
          <w:sz w:val="32"/>
          <w:szCs w:val="32"/>
        </w:rPr>
        <w:t>主要包括</w:t>
      </w:r>
      <w:r>
        <w:rPr>
          <w:rFonts w:hint="eastAsia" w:ascii="仿宋_GB2312" w:hAnsi="仿宋_GB2312" w:eastAsia="仿宋_GB2312" w:cs="仿宋_GB2312"/>
          <w:sz w:val="32"/>
          <w:szCs w:val="32"/>
          <w:lang w:eastAsia="zh-CN"/>
        </w:rPr>
        <w:t>项目论证过程及审批情况、项目资金分配明细及</w:t>
      </w:r>
      <w:r>
        <w:rPr>
          <w:rFonts w:hint="eastAsia" w:ascii="仿宋_GB2312" w:hAnsi="仿宋_GB2312" w:eastAsia="仿宋_GB2312" w:cs="仿宋_GB2312"/>
          <w:sz w:val="32"/>
          <w:szCs w:val="32"/>
        </w:rPr>
        <w:t>财政资金分配</w:t>
      </w:r>
      <w:r>
        <w:rPr>
          <w:rFonts w:hint="eastAsia" w:ascii="仿宋_GB2312" w:hAnsi="仿宋_GB2312" w:eastAsia="仿宋_GB2312" w:cs="仿宋_GB2312"/>
          <w:sz w:val="32"/>
          <w:szCs w:val="32"/>
          <w:lang w:eastAsia="zh-CN"/>
        </w:rPr>
        <w:t>原则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开展事前绩效评估的情况</w:t>
      </w:r>
      <w:r>
        <w:rPr>
          <w:rFonts w:hint="eastAsia" w:ascii="仿宋_GB2312" w:hAnsi="仿宋_GB2312" w:eastAsia="仿宋_GB2312" w:cs="仿宋_GB2312"/>
          <w:sz w:val="32"/>
          <w:szCs w:val="32"/>
        </w:rPr>
        <w:t>等内容。</w:t>
      </w:r>
    </w:p>
    <w:p w14:paraId="1C0EE33B">
      <w:pPr>
        <w:snapToGrid/>
        <w:spacing w:line="580" w:lineRule="exact"/>
        <w:ind w:firstLine="643" w:firstLineChars="200"/>
        <w:jc w:val="both"/>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lang w:eastAsia="zh-CN"/>
        </w:rPr>
        <w:t>项目论证过程及审批情况</w:t>
      </w:r>
    </w:p>
    <w:p w14:paraId="122ED129">
      <w:pPr>
        <w:spacing w:line="58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bidi="ar"/>
        </w:rPr>
        <w:t>根据省要求，脱贫攻坚任务完成后，进一步巩固拓展脱贫攻坚成果同乡村振兴有效衔接，守住脱贫成果，全面推进乡村振兴。2021年6月省决定开展驻镇帮镇扶村工作，围绕“五大提升”任务，分类分级帮扶，力争到2022年，乡村振兴成果进一步巩固拓展，镇村同建同治同美取得显著成效，到2027年，乡村振兴取得战略性成果，镇村面貌实现根本改变，到2035年，农业高质高效、乡村宜居宜业、农民富裕富足目标总体实现，乡村基本实现现代化。</w:t>
      </w:r>
      <w:r>
        <w:rPr>
          <w:rFonts w:hint="eastAsia" w:ascii="仿宋_GB2312" w:hAnsi="仿宋_GB2312" w:eastAsia="仿宋_GB2312" w:cs="仿宋_GB2312"/>
          <w:kern w:val="2"/>
          <w:sz w:val="32"/>
          <w:szCs w:val="32"/>
          <w:lang w:eastAsia="zh-CN" w:bidi="ar"/>
        </w:rPr>
        <w:t>我市没有省内结对帮扶任务，由</w:t>
      </w:r>
      <w:r>
        <w:rPr>
          <w:rFonts w:hint="eastAsia" w:ascii="仿宋_GB2312" w:hAnsi="仿宋_GB2312" w:eastAsia="仿宋_GB2312" w:cs="仿宋_GB2312"/>
          <w:sz w:val="32"/>
          <w:szCs w:val="32"/>
        </w:rPr>
        <w:t>我市</w:t>
      </w:r>
      <w:r>
        <w:rPr>
          <w:rFonts w:hint="eastAsia" w:ascii="仿宋_GB2312" w:hAnsi="仿宋_GB2312" w:eastAsia="仿宋_GB2312" w:cs="仿宋_GB2312"/>
          <w:sz w:val="32"/>
          <w:szCs w:val="32"/>
          <w:lang w:eastAsia="zh-CN"/>
        </w:rPr>
        <w:t>自行</w:t>
      </w:r>
      <w:r>
        <w:rPr>
          <w:rFonts w:hint="eastAsia" w:ascii="仿宋_GB2312" w:hAnsi="仿宋_GB2312" w:eastAsia="仿宋_GB2312" w:cs="仿宋_GB2312"/>
          <w:sz w:val="32"/>
          <w:szCs w:val="32"/>
        </w:rPr>
        <w:t>制定《江门市乡村振兴驻镇帮镇扶村工作方案》，</w:t>
      </w:r>
      <w:r>
        <w:rPr>
          <w:rFonts w:hint="eastAsia" w:ascii="仿宋_GB2312" w:hAnsi="仿宋_GB2312" w:eastAsia="仿宋_GB2312" w:cs="仿宋_GB2312"/>
          <w:sz w:val="32"/>
          <w:szCs w:val="32"/>
          <w:lang w:eastAsia="zh-CN"/>
        </w:rPr>
        <w:t>开展自帮自扶，</w:t>
      </w:r>
      <w:r>
        <w:rPr>
          <w:rFonts w:hint="eastAsia" w:ascii="仿宋_GB2312" w:hAnsi="仿宋_GB2312" w:eastAsia="仿宋_GB2312" w:cs="仿宋_GB2312"/>
          <w:sz w:val="32"/>
          <w:szCs w:val="32"/>
        </w:rPr>
        <w:t>在市衔接乡村振兴资金中每年安排不少于7000万元实施组团结对帮扶，实行分类分级帮扶。同时，按照市第十四次党代会工作部署，加大东西部区域协调发展，我市</w:t>
      </w:r>
      <w:r>
        <w:rPr>
          <w:rFonts w:hint="eastAsia" w:ascii="仿宋_GB2312" w:hAnsi="仿宋_GB2312" w:eastAsia="仿宋_GB2312" w:cs="仿宋_GB2312"/>
          <w:sz w:val="32"/>
          <w:szCs w:val="32"/>
          <w:lang w:val="en-US" w:eastAsia="zh-CN"/>
        </w:rPr>
        <w:t>2021年</w:t>
      </w:r>
      <w:r>
        <w:rPr>
          <w:rFonts w:hint="eastAsia" w:ascii="仿宋_GB2312" w:hAnsi="仿宋_GB2312" w:eastAsia="仿宋_GB2312" w:cs="仿宋_GB2312"/>
          <w:sz w:val="32"/>
          <w:szCs w:val="32"/>
        </w:rPr>
        <w:t>出台《江门市提升村经有集体经济经营性收入行动方案》，</w:t>
      </w:r>
      <w:r>
        <w:rPr>
          <w:rFonts w:hint="eastAsia" w:ascii="仿宋_GB2312" w:hAnsi="仿宋_GB2312" w:eastAsia="仿宋_GB2312" w:cs="仿宋_GB2312"/>
          <w:sz w:val="32"/>
          <w:szCs w:val="32"/>
          <w:lang w:eastAsia="zh-CN"/>
        </w:rPr>
        <w:t>支持村集体经济发展。老区建设方面，延续</w:t>
      </w:r>
      <w:r>
        <w:rPr>
          <w:rFonts w:hint="eastAsia" w:ascii="仿宋_GB2312" w:hAnsi="仿宋_GB2312" w:eastAsia="仿宋_GB2312" w:cs="仿宋_GB2312"/>
          <w:sz w:val="32"/>
          <w:szCs w:val="32"/>
          <w:lang w:val="en-US" w:eastAsia="zh-CN"/>
        </w:rPr>
        <w:t>2019年出台的《江门市推动革命老区振兴发展实施意见》，市级每年安排500万元，支持老区村重点项目建设和发展提升。</w:t>
      </w: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eastAsia="zh-CN"/>
        </w:rPr>
        <w:t>当</w:t>
      </w:r>
      <w:r>
        <w:rPr>
          <w:rFonts w:hint="eastAsia" w:ascii="仿宋_GB2312" w:hAnsi="仿宋_GB2312" w:eastAsia="仿宋_GB2312" w:cs="仿宋_GB2312"/>
          <w:sz w:val="32"/>
          <w:szCs w:val="32"/>
        </w:rPr>
        <w:t>年驻镇帮镇扶的工作任务轻重，将资金集中安排到驻镇帮镇扶村中重点帮扶镇</w:t>
      </w:r>
      <w:r>
        <w:rPr>
          <w:rFonts w:hint="eastAsia" w:ascii="仿宋_GB2312" w:hAnsi="仿宋_GB2312" w:eastAsia="仿宋_GB2312" w:cs="仿宋_GB2312"/>
          <w:sz w:val="32"/>
          <w:szCs w:val="32"/>
          <w:lang w:eastAsia="zh-CN"/>
        </w:rPr>
        <w:t>、经济</w:t>
      </w:r>
      <w:r>
        <w:rPr>
          <w:rFonts w:hint="eastAsia" w:ascii="仿宋_GB2312" w:hAnsi="仿宋_GB2312" w:eastAsia="仿宋_GB2312" w:cs="仿宋_GB2312"/>
          <w:sz w:val="32"/>
          <w:szCs w:val="32"/>
        </w:rPr>
        <w:t>薄弱村</w:t>
      </w:r>
      <w:r>
        <w:rPr>
          <w:rFonts w:hint="eastAsia" w:ascii="仿宋_GB2312" w:hAnsi="仿宋_GB2312" w:eastAsia="仿宋_GB2312" w:cs="仿宋_GB2312"/>
          <w:sz w:val="32"/>
          <w:szCs w:val="32"/>
          <w:lang w:eastAsia="zh-CN"/>
        </w:rPr>
        <w:t>、老区村</w:t>
      </w:r>
      <w:r>
        <w:rPr>
          <w:rFonts w:hint="eastAsia" w:ascii="仿宋_GB2312" w:hAnsi="仿宋_GB2312" w:eastAsia="仿宋_GB2312" w:cs="仿宋_GB2312"/>
          <w:sz w:val="32"/>
          <w:szCs w:val="32"/>
        </w:rPr>
        <w:t>，重点支持产业发展</w:t>
      </w:r>
      <w:r>
        <w:rPr>
          <w:rFonts w:hint="eastAsia" w:ascii="仿宋_GB2312" w:hAnsi="仿宋_GB2312" w:eastAsia="仿宋_GB2312" w:cs="仿宋_GB2312"/>
          <w:sz w:val="32"/>
          <w:szCs w:val="32"/>
          <w:lang w:eastAsia="zh-CN"/>
        </w:rPr>
        <w:t>和基础设施补短板。</w:t>
      </w:r>
    </w:p>
    <w:p w14:paraId="0DA0B918">
      <w:pPr>
        <w:spacing w:line="58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sz w:val="32"/>
          <w:szCs w:val="32"/>
          <w:lang w:eastAsia="zh-CN"/>
        </w:rPr>
        <w:t>根据</w:t>
      </w:r>
      <w:r>
        <w:rPr>
          <w:rFonts w:hint="eastAsia" w:ascii="仿宋_GB2312" w:hAnsi="仿宋_GB2312" w:eastAsia="仿宋_GB2312" w:cs="仿宋_GB2312"/>
          <w:b w:val="0"/>
          <w:bCs w:val="0"/>
          <w:sz w:val="32"/>
          <w:szCs w:val="32"/>
        </w:rPr>
        <w:t>江门市衔接推进乡村振兴专项资金管理办法</w:t>
      </w:r>
      <w:r>
        <w:rPr>
          <w:rFonts w:hint="eastAsia" w:ascii="仿宋_GB2312" w:hAnsi="仿宋_GB2312" w:eastAsia="仿宋_GB2312" w:cs="仿宋_GB2312"/>
          <w:b w:val="0"/>
          <w:bCs w:val="0"/>
          <w:sz w:val="32"/>
          <w:szCs w:val="32"/>
          <w:lang w:eastAsia="zh-CN"/>
        </w:rPr>
        <w:t>，衔接资金根据上级和市委市政府年度工作目标任务，结合资金筹集情况，按照轻重缓急原则，按照相关人群数量及结构、政策因素、绩效考核等因素进行测算和综合平衡，采取项目法或因素法，分配给市有关部门或各县（市、区），由市有关部门或各县（市、区）根据上级“任务清单”统筹使用，确定具体项目。衔接资金年度预算额度确定后，衔接资金分配方案按照“三重一大”要求经市农业农村局（市乡村振兴局）集体审议后，经市财政局审核后，报市委农村工作领导小组按照《江门市本级财政预算支出审批权限规定（修订稿）》“三、（二）项目支出”的审批权限执行审批。</w:t>
      </w:r>
    </w:p>
    <w:p w14:paraId="087A6B91">
      <w:pPr>
        <w:spacing w:line="58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资金统筹上缴情况</w:t>
      </w:r>
    </w:p>
    <w:p w14:paraId="0377A16E">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1-2025</w:t>
      </w:r>
      <w:r>
        <w:rPr>
          <w:rFonts w:hint="eastAsia" w:ascii="仿宋_GB2312" w:hAnsi="仿宋_GB2312" w:eastAsia="仿宋_GB2312" w:cs="仿宋_GB2312"/>
          <w:sz w:val="32"/>
          <w:szCs w:val="32"/>
        </w:rPr>
        <w:t>年江门市本级和各县（市、区）用于衔接推进乡村振兴工作资金收入为</w:t>
      </w:r>
      <w:r>
        <w:rPr>
          <w:rFonts w:hint="eastAsia" w:ascii="仿宋_GB2312" w:hAnsi="仿宋_GB2312" w:eastAsia="仿宋_GB2312" w:cs="仿宋_GB2312"/>
          <w:sz w:val="32"/>
          <w:szCs w:val="32"/>
          <w:lang w:val="en-US" w:eastAsia="zh-CN"/>
        </w:rPr>
        <w:t>42765.42</w:t>
      </w:r>
      <w:r>
        <w:rPr>
          <w:rFonts w:hint="eastAsia" w:ascii="仿宋_GB2312" w:hAnsi="仿宋_GB2312" w:eastAsia="仿宋_GB2312" w:cs="仿宋_GB2312"/>
          <w:sz w:val="32"/>
          <w:szCs w:val="32"/>
        </w:rPr>
        <w:t>万元。收入项目如下：</w:t>
      </w:r>
    </w:p>
    <w:p w14:paraId="02791B87">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市本级</w:t>
      </w:r>
      <w:r>
        <w:rPr>
          <w:rFonts w:hint="eastAsia" w:ascii="仿宋_GB2312" w:hAnsi="仿宋_GB2312" w:eastAsia="仿宋_GB2312" w:cs="仿宋_GB2312"/>
          <w:sz w:val="32"/>
          <w:szCs w:val="32"/>
          <w:lang w:eastAsia="zh-CN"/>
        </w:rPr>
        <w:t>投入</w:t>
      </w:r>
      <w:r>
        <w:rPr>
          <w:rFonts w:hint="eastAsia" w:ascii="仿宋_GB2312" w:hAnsi="仿宋_GB2312" w:eastAsia="仿宋_GB2312" w:cs="仿宋_GB2312"/>
          <w:sz w:val="32"/>
          <w:szCs w:val="32"/>
          <w:lang w:val="en-US" w:eastAsia="zh-CN"/>
        </w:rPr>
        <w:t>20444.29万元；</w:t>
      </w:r>
    </w:p>
    <w:p w14:paraId="37FDD4B1">
      <w:pPr>
        <w:spacing w:line="58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年结转余额</w:t>
      </w:r>
      <w:r>
        <w:rPr>
          <w:rFonts w:hint="eastAsia" w:ascii="仿宋_GB2312" w:hAnsi="仿宋_GB2312" w:eastAsia="仿宋_GB2312" w:cs="仿宋_GB2312"/>
          <w:sz w:val="32"/>
          <w:szCs w:val="32"/>
          <w:lang w:val="en-US" w:eastAsia="zh-CN"/>
        </w:rPr>
        <w:t>2012.8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14:paraId="24C3805D">
      <w:pPr>
        <w:numPr>
          <w:ilvl w:val="0"/>
          <w:numId w:val="1"/>
        </w:num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各县（市、区）收缴资金</w:t>
      </w:r>
      <w:r>
        <w:rPr>
          <w:rFonts w:hint="eastAsia" w:ascii="仿宋_GB2312" w:hAnsi="仿宋_GB2312" w:eastAsia="仿宋_GB2312" w:cs="仿宋_GB2312"/>
          <w:sz w:val="32"/>
          <w:szCs w:val="32"/>
          <w:lang w:val="en-US" w:eastAsia="zh-CN"/>
        </w:rPr>
        <w:t>20308.33万元。</w:t>
      </w:r>
    </w:p>
    <w:tbl>
      <w:tblPr>
        <w:tblStyle w:val="6"/>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0"/>
        <w:gridCol w:w="1483"/>
        <w:gridCol w:w="1533"/>
        <w:gridCol w:w="2284"/>
        <w:gridCol w:w="2269"/>
      </w:tblGrid>
      <w:tr w14:paraId="79C79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8429" w:type="dxa"/>
            <w:gridSpan w:val="5"/>
            <w:tcBorders>
              <w:top w:val="nil"/>
              <w:left w:val="nil"/>
              <w:bottom w:val="nil"/>
              <w:right w:val="nil"/>
            </w:tcBorders>
            <w:shd w:val="clear" w:color="auto" w:fill="auto"/>
            <w:noWrap/>
            <w:vAlign w:val="center"/>
          </w:tcPr>
          <w:p w14:paraId="0B057835">
            <w:pPr>
              <w:jc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2021-2025年度市级衔接推进乡村振兴资金收入统计表</w:t>
            </w:r>
          </w:p>
        </w:tc>
      </w:tr>
      <w:tr w14:paraId="4F12F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860" w:type="dxa"/>
            <w:tcBorders>
              <w:top w:val="nil"/>
              <w:left w:val="nil"/>
              <w:bottom w:val="nil"/>
              <w:right w:val="nil"/>
            </w:tcBorders>
            <w:shd w:val="clear" w:color="auto" w:fill="auto"/>
            <w:noWrap/>
            <w:vAlign w:val="center"/>
          </w:tcPr>
          <w:p w14:paraId="52640909">
            <w:pPr>
              <w:rPr>
                <w:rFonts w:hint="eastAsia" w:ascii="宋体" w:hAnsi="宋体" w:eastAsia="宋体" w:cs="宋体"/>
                <w:i w:val="0"/>
                <w:color w:val="000000"/>
                <w:sz w:val="32"/>
                <w:szCs w:val="32"/>
                <w:u w:val="none"/>
              </w:rPr>
            </w:pPr>
          </w:p>
        </w:tc>
        <w:tc>
          <w:tcPr>
            <w:tcW w:w="1483" w:type="dxa"/>
            <w:tcBorders>
              <w:top w:val="nil"/>
              <w:left w:val="nil"/>
              <w:bottom w:val="nil"/>
              <w:right w:val="nil"/>
            </w:tcBorders>
            <w:shd w:val="clear" w:color="auto" w:fill="auto"/>
            <w:noWrap/>
            <w:vAlign w:val="center"/>
          </w:tcPr>
          <w:p w14:paraId="73315506">
            <w:pPr>
              <w:rPr>
                <w:rFonts w:hint="eastAsia" w:ascii="宋体" w:hAnsi="宋体" w:eastAsia="宋体" w:cs="宋体"/>
                <w:i w:val="0"/>
                <w:color w:val="000000"/>
                <w:sz w:val="32"/>
                <w:szCs w:val="32"/>
                <w:u w:val="none"/>
              </w:rPr>
            </w:pPr>
          </w:p>
        </w:tc>
        <w:tc>
          <w:tcPr>
            <w:tcW w:w="1533" w:type="dxa"/>
            <w:tcBorders>
              <w:top w:val="nil"/>
              <w:left w:val="nil"/>
              <w:bottom w:val="nil"/>
              <w:right w:val="nil"/>
            </w:tcBorders>
            <w:shd w:val="clear" w:color="auto" w:fill="auto"/>
            <w:noWrap/>
            <w:vAlign w:val="center"/>
          </w:tcPr>
          <w:p w14:paraId="68FAAC90">
            <w:pPr>
              <w:rPr>
                <w:rFonts w:hint="eastAsia" w:ascii="宋体" w:hAnsi="宋体" w:eastAsia="宋体" w:cs="宋体"/>
                <w:i w:val="0"/>
                <w:color w:val="000000"/>
                <w:sz w:val="32"/>
                <w:szCs w:val="32"/>
                <w:u w:val="none"/>
              </w:rPr>
            </w:pPr>
          </w:p>
        </w:tc>
        <w:tc>
          <w:tcPr>
            <w:tcW w:w="2284" w:type="dxa"/>
            <w:tcBorders>
              <w:top w:val="nil"/>
              <w:left w:val="nil"/>
              <w:bottom w:val="nil"/>
              <w:right w:val="nil"/>
            </w:tcBorders>
            <w:shd w:val="clear" w:color="auto" w:fill="auto"/>
            <w:noWrap/>
            <w:vAlign w:val="center"/>
          </w:tcPr>
          <w:p w14:paraId="31DA6E0A">
            <w:pPr>
              <w:rPr>
                <w:rFonts w:hint="eastAsia" w:ascii="宋体" w:hAnsi="宋体" w:eastAsia="宋体" w:cs="宋体"/>
                <w:i w:val="0"/>
                <w:color w:val="000000"/>
                <w:sz w:val="32"/>
                <w:szCs w:val="32"/>
                <w:u w:val="none"/>
              </w:rPr>
            </w:pPr>
          </w:p>
        </w:tc>
        <w:tc>
          <w:tcPr>
            <w:tcW w:w="2269" w:type="dxa"/>
            <w:tcBorders>
              <w:top w:val="nil"/>
              <w:left w:val="nil"/>
              <w:bottom w:val="nil"/>
              <w:right w:val="nil"/>
            </w:tcBorders>
            <w:shd w:val="clear" w:color="auto" w:fill="auto"/>
            <w:noWrap/>
            <w:vAlign w:val="center"/>
          </w:tcPr>
          <w:p w14:paraId="1EB233E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单位：万元</w:t>
            </w:r>
          </w:p>
        </w:tc>
      </w:tr>
      <w:tr w14:paraId="025A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6C2F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53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084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资金来源</w:t>
            </w:r>
          </w:p>
        </w:tc>
        <w:tc>
          <w:tcPr>
            <w:tcW w:w="226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60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r>
      <w:tr w14:paraId="4566D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A0D3">
            <w:pPr>
              <w:jc w:val="center"/>
              <w:rPr>
                <w:rFonts w:hint="eastAsia" w:ascii="宋体" w:hAnsi="宋体" w:eastAsia="宋体" w:cs="宋体"/>
                <w:i w:val="0"/>
                <w:color w:val="000000"/>
                <w:sz w:val="22"/>
                <w:szCs w:val="22"/>
                <w:u w:val="none"/>
              </w:rPr>
            </w:pP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0BFB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2020年结余</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17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市本级上缴</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E01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各县（市、区）上缴</w:t>
            </w:r>
          </w:p>
        </w:tc>
        <w:tc>
          <w:tcPr>
            <w:tcW w:w="226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0F345">
            <w:pPr>
              <w:jc w:val="center"/>
              <w:rPr>
                <w:rFonts w:hint="eastAsia" w:ascii="宋体" w:hAnsi="宋体" w:eastAsia="宋体" w:cs="宋体"/>
                <w:i w:val="0"/>
                <w:color w:val="000000"/>
                <w:sz w:val="22"/>
                <w:szCs w:val="22"/>
                <w:u w:val="none"/>
              </w:rPr>
            </w:pPr>
          </w:p>
        </w:tc>
      </w:tr>
      <w:tr w14:paraId="3BA84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28A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FF5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2012.8</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2C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2313.44</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08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7552.717</w:t>
            </w:r>
          </w:p>
        </w:tc>
        <w:tc>
          <w:tcPr>
            <w:tcW w:w="2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67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11878.957</w:t>
            </w:r>
          </w:p>
        </w:tc>
      </w:tr>
      <w:tr w14:paraId="6D67C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54B0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D8E00">
            <w:pPr>
              <w:jc w:val="center"/>
              <w:rPr>
                <w:rFonts w:hint="eastAsia" w:ascii="宋体" w:hAnsi="宋体" w:eastAsia="宋体" w:cs="宋体"/>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5DB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3989.57</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A68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6730.085</w:t>
            </w:r>
          </w:p>
        </w:tc>
        <w:tc>
          <w:tcPr>
            <w:tcW w:w="2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F4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10719.655</w:t>
            </w:r>
          </w:p>
        </w:tc>
      </w:tr>
      <w:tr w14:paraId="6A43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00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BBE6">
            <w:pPr>
              <w:jc w:val="center"/>
              <w:rPr>
                <w:rFonts w:hint="eastAsia" w:ascii="宋体" w:hAnsi="宋体" w:eastAsia="宋体" w:cs="宋体"/>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774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4170.64</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8BB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5016.076</w:t>
            </w:r>
          </w:p>
        </w:tc>
        <w:tc>
          <w:tcPr>
            <w:tcW w:w="2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3A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9186.716</w:t>
            </w:r>
          </w:p>
        </w:tc>
      </w:tr>
      <w:tr w14:paraId="3F670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DC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D861">
            <w:pPr>
              <w:jc w:val="center"/>
              <w:rPr>
                <w:rFonts w:hint="eastAsia" w:ascii="宋体" w:hAnsi="宋体" w:eastAsia="宋体" w:cs="宋体"/>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711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4170.64</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E4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1009.452</w:t>
            </w:r>
          </w:p>
        </w:tc>
        <w:tc>
          <w:tcPr>
            <w:tcW w:w="2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15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5180.092</w:t>
            </w:r>
          </w:p>
        </w:tc>
      </w:tr>
      <w:tr w14:paraId="5E4A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36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41F33">
            <w:pPr>
              <w:jc w:val="center"/>
              <w:rPr>
                <w:rFonts w:hint="eastAsia" w:ascii="宋体" w:hAnsi="宋体" w:eastAsia="宋体" w:cs="宋体"/>
                <w:i w:val="0"/>
                <w:color w:val="000000"/>
                <w:sz w:val="22"/>
                <w:szCs w:val="22"/>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D0D3A">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5800.00</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FA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w:t>
            </w:r>
          </w:p>
        </w:tc>
        <w:tc>
          <w:tcPr>
            <w:tcW w:w="2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63D5C">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5800.00</w:t>
            </w:r>
          </w:p>
        </w:tc>
      </w:tr>
      <w:tr w14:paraId="1E92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47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91C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2012.80 </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979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20444.29 </w:t>
            </w:r>
          </w:p>
        </w:tc>
        <w:tc>
          <w:tcPr>
            <w:tcW w:w="22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CC4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20308.33 </w:t>
            </w:r>
          </w:p>
        </w:tc>
        <w:tc>
          <w:tcPr>
            <w:tcW w:w="22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83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42765.42</w:t>
            </w:r>
          </w:p>
        </w:tc>
      </w:tr>
    </w:tbl>
    <w:p w14:paraId="3E00BFFB">
      <w:pPr>
        <w:spacing w:line="580" w:lineRule="exact"/>
        <w:ind w:firstLine="643" w:firstLineChars="20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3、资金分配情况</w:t>
      </w:r>
    </w:p>
    <w:p w14:paraId="6D5508C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按收支平衡，略有节余的原则，并兼顾确保以后年度全市统筹用于衔接推进乡村振兴工作的后续资金需要，主要支出项目如下：</w:t>
      </w:r>
    </w:p>
    <w:p w14:paraId="29BDC0FD">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（1）驻镇帮镇扶村（含防止返贫）专项资金14771.32万元，</w:t>
      </w:r>
      <w:r>
        <w:rPr>
          <w:rFonts w:hint="eastAsia" w:ascii="仿宋_GB2312" w:hAnsi="仿宋_GB2312" w:eastAsia="仿宋_GB2312" w:cs="仿宋_GB2312"/>
          <w:b w:val="0"/>
          <w:bCs w:val="0"/>
          <w:sz w:val="32"/>
          <w:szCs w:val="32"/>
          <w:lang w:val="en-US" w:eastAsia="zh-CN"/>
        </w:rPr>
        <w:t>其中：</w:t>
      </w:r>
    </w:p>
    <w:p w14:paraId="4B180F63">
      <w:pPr>
        <w:spacing w:line="580" w:lineRule="exact"/>
        <w:ind w:firstLine="643"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rPr>
        <w:t>防止返贫保险市级补助</w:t>
      </w:r>
      <w:r>
        <w:rPr>
          <w:rFonts w:hint="eastAsia" w:ascii="仿宋_GB2312" w:hAnsi="仿宋_GB2312" w:eastAsia="仿宋_GB2312" w:cs="仿宋_GB2312"/>
          <w:b/>
          <w:bCs/>
          <w:sz w:val="32"/>
          <w:szCs w:val="32"/>
          <w:lang w:val="en-US" w:eastAsia="zh-CN"/>
        </w:rPr>
        <w:t>168.89万元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帮扶对象每人</w:t>
      </w:r>
      <w:r>
        <w:rPr>
          <w:rFonts w:hint="eastAsia" w:ascii="仿宋_GB2312" w:hAnsi="仿宋_GB2312" w:eastAsia="仿宋_GB2312" w:cs="仿宋_GB2312"/>
          <w:b w:val="0"/>
          <w:bCs w:val="0"/>
          <w:sz w:val="32"/>
          <w:szCs w:val="32"/>
          <w:lang w:val="en-US" w:eastAsia="zh-CN"/>
        </w:rPr>
        <w:t>100元市级补助，5年合计支出93.82万元，补助9382人次购买</w:t>
      </w:r>
      <w:r>
        <w:rPr>
          <w:rFonts w:hint="eastAsia" w:ascii="仿宋_GB2312" w:hAnsi="仿宋_GB2312" w:eastAsia="仿宋_GB2312" w:cs="仿宋_GB2312"/>
          <w:b w:val="0"/>
          <w:bCs w:val="0"/>
          <w:sz w:val="32"/>
          <w:szCs w:val="32"/>
        </w:rPr>
        <w:t>防止返贫</w:t>
      </w:r>
      <w:r>
        <w:rPr>
          <w:rFonts w:hint="eastAsia" w:ascii="仿宋_GB2312" w:hAnsi="仿宋_GB2312" w:eastAsia="仿宋_GB2312" w:cs="仿宋_GB2312"/>
          <w:b w:val="0"/>
          <w:bCs w:val="0"/>
          <w:sz w:val="32"/>
          <w:szCs w:val="32"/>
          <w:lang w:eastAsia="zh-CN"/>
        </w:rPr>
        <w:t>致贫</w:t>
      </w:r>
      <w:r>
        <w:rPr>
          <w:rFonts w:hint="eastAsia" w:ascii="仿宋_GB2312" w:hAnsi="仿宋_GB2312" w:eastAsia="仿宋_GB2312" w:cs="仿宋_GB2312"/>
          <w:b w:val="0"/>
          <w:bCs w:val="0"/>
          <w:sz w:val="32"/>
          <w:szCs w:val="32"/>
        </w:rPr>
        <w:t>保险</w:t>
      </w:r>
      <w:r>
        <w:rPr>
          <w:rFonts w:hint="eastAsia" w:ascii="仿宋_GB2312" w:hAnsi="仿宋_GB2312" w:eastAsia="仿宋_GB2312" w:cs="仿宋_GB2312"/>
          <w:b w:val="0"/>
          <w:bCs w:val="0"/>
          <w:sz w:val="32"/>
          <w:szCs w:val="32"/>
          <w:lang w:eastAsia="zh-CN"/>
        </w:rPr>
        <w:t>。</w:t>
      </w:r>
    </w:p>
    <w:p w14:paraId="36FF5C45">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医疗保障补充专项</w:t>
      </w:r>
      <w:r>
        <w:rPr>
          <w:rFonts w:hint="eastAsia" w:ascii="仿宋_GB2312" w:hAnsi="仿宋_GB2312" w:eastAsia="仿宋_GB2312" w:cs="仿宋_GB2312"/>
          <w:b/>
          <w:bCs/>
          <w:sz w:val="32"/>
          <w:szCs w:val="32"/>
          <w:lang w:val="en-US" w:eastAsia="zh-CN"/>
        </w:rPr>
        <w:t>77.1万元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2022年安排77.10万元，用于防止返贫动态监测对象，经我市基本医疗保险、大病保险、医疗救助和其他补充医疗保险支付后，在定点药店自行购买药品产生的合规性费用，每人每年报销上限1000元，实行实报实销，资金用完即止。政策已于2025年底到期，各县（市、区）正办理结余资金调整使用手续。</w:t>
      </w:r>
    </w:p>
    <w:p w14:paraId="230B585D">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“粤菜师傅”“广东技工”“南粤家政”三项工程专项</w:t>
      </w:r>
      <w:r>
        <w:rPr>
          <w:rFonts w:hint="eastAsia" w:ascii="仿宋_GB2312" w:hAnsi="仿宋_GB2312" w:eastAsia="仿宋_GB2312" w:cs="仿宋_GB2312"/>
          <w:b/>
          <w:bCs/>
          <w:sz w:val="32"/>
          <w:szCs w:val="32"/>
          <w:lang w:val="en-US" w:eastAsia="zh-CN"/>
        </w:rPr>
        <w:t>160万元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2021-2022年每年安排80万元，用于市人社局开展实施“粤菜师傅”“广东技工”“南粤家政”帮扶计划，补助对象为江门市困难对象和东西部协作结对崇左脱贫户。已全部支出完成。</w:t>
      </w:r>
    </w:p>
    <w:p w14:paraId="09E4A6B1">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农村困难群众危房改造专项</w:t>
      </w:r>
      <w:r>
        <w:rPr>
          <w:rFonts w:hint="eastAsia" w:ascii="仿宋_GB2312" w:hAnsi="仿宋_GB2312" w:eastAsia="仿宋_GB2312" w:cs="仿宋_GB2312"/>
          <w:b/>
          <w:bCs/>
          <w:sz w:val="32"/>
          <w:szCs w:val="32"/>
          <w:lang w:val="en-US" w:eastAsia="zh-CN"/>
        </w:rPr>
        <w:t>419.7万元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2021-2024年共安排419.7万元，对市住建局2020-2023年排查出来的农村困难户345户的危房进行重点改造。该项为巩固脱贫攻坚成果到户保障措施，同时是中央财政资金配套任务、十件民生实事。根据省下达至江门市中央财政农村危房改造任务，配套市级资金。项目已全部完成。</w:t>
      </w:r>
    </w:p>
    <w:p w14:paraId="06688524">
      <w:pPr>
        <w:spacing w:line="580" w:lineRule="exact"/>
        <w:ind w:firstLine="643" w:firstLineChars="200"/>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消费帮扶专项</w:t>
      </w:r>
      <w:r>
        <w:rPr>
          <w:rFonts w:hint="eastAsia" w:ascii="仿宋_GB2312" w:hAnsi="仿宋_GB2312" w:eastAsia="仿宋_GB2312" w:cs="仿宋_GB2312"/>
          <w:b/>
          <w:bCs/>
          <w:sz w:val="32"/>
          <w:szCs w:val="32"/>
          <w:lang w:val="en-US" w:eastAsia="zh-CN"/>
        </w:rPr>
        <w:t>305万元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2021-2024年安排消费帮扶双创基地补助资金265万元（含国家832消费帮扶平台补助68万元，省东西部对口协作农产品交易市场江门展馆运营补助78万元）、消费帮扶产品活动资金40万元。2023年省东西部对口协作农产品交易市场提早退场，江门展馆退回补助4万元。</w:t>
      </w:r>
    </w:p>
    <w:p w14:paraId="700AA271">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扶持薄弱村发展壮大集体经济</w:t>
      </w:r>
      <w:r>
        <w:rPr>
          <w:rFonts w:hint="eastAsia" w:ascii="仿宋_GB2312" w:hAnsi="仿宋_GB2312" w:eastAsia="仿宋_GB2312" w:cs="仿宋_GB2312"/>
          <w:b/>
          <w:bCs/>
          <w:sz w:val="32"/>
          <w:szCs w:val="32"/>
          <w:lang w:eastAsia="zh-CN"/>
        </w:rPr>
        <w:t>专项</w:t>
      </w:r>
      <w:r>
        <w:rPr>
          <w:rFonts w:hint="eastAsia" w:ascii="仿宋_GB2312" w:hAnsi="仿宋_GB2312" w:eastAsia="仿宋_GB2312" w:cs="仿宋_GB2312"/>
          <w:b/>
          <w:bCs/>
          <w:sz w:val="32"/>
          <w:szCs w:val="32"/>
          <w:lang w:val="en-US" w:eastAsia="zh-CN"/>
        </w:rPr>
        <w:t>5280万元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2021-2022年共安排5280万元，资金用于全市222条经济薄弱村发展经济项目，提升薄弱村经济经营性收入，确保2022年底前完成全市薄弱村经济经营性收入达到10万元以上的任务。资金主要用于包括产业发展、固定资产投资等，培植税源提高薄弱村经济经营性收入。2023年政策到期，资金整合到重点帮扶镇扶持重点帮扶镇特色产业专项中。</w:t>
      </w:r>
    </w:p>
    <w:p w14:paraId="726AFF9E">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三结对”重点帮扶</w:t>
      </w:r>
      <w:r>
        <w:rPr>
          <w:rFonts w:hint="eastAsia" w:ascii="仿宋_GB2312" w:hAnsi="仿宋_GB2312" w:eastAsia="仿宋_GB2312" w:cs="仿宋_GB2312"/>
          <w:b/>
          <w:bCs/>
          <w:sz w:val="32"/>
          <w:szCs w:val="32"/>
          <w:lang w:eastAsia="zh-CN"/>
        </w:rPr>
        <w:t>专项</w:t>
      </w:r>
      <w:r>
        <w:rPr>
          <w:rFonts w:hint="eastAsia" w:ascii="仿宋_GB2312" w:hAnsi="仿宋_GB2312" w:eastAsia="仿宋_GB2312" w:cs="仿宋_GB2312"/>
          <w:b/>
          <w:bCs/>
          <w:sz w:val="32"/>
          <w:szCs w:val="32"/>
          <w:lang w:val="en-US" w:eastAsia="zh-CN"/>
        </w:rPr>
        <w:t>1070万元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2021-2022年用于结合薄弱村“三结对”和市委组织部开展“百名第一书记”驻村工作，安排专项支持市直部门结对薄弱村的重点帮扶项目建设（含基础设施、生产设备、公共服务等）。由市直单位派驻薄弱村所涉的镇（街）工作组统筹安排使用，重点用于薄弱村落实驻镇帮镇扶村五大工作任务措施落地，优先用于产业发展、巩固脱贫成果等。我市222条薄弱村共涉45个镇（街），按每个镇安排8万元的标准，每年合计安排360万元，两年共720万元。2023年根据驻镇帮镇扶村组团式帮扶，对市派驻镇村第一书记的70个涉农镇街，每个安排5万元，共安排350万元，支持开展强村党组织、推进强村富民、驻镇帮镇扶村、提升治理水平、为民办事服务等职责工作，由驻镇（街）帮扶工作队统筹安排资金使用。三年合计实施项目169个，惠及45个有薄弱村镇街以及70个驻镇帮镇扶村涉农镇街。</w:t>
      </w:r>
    </w:p>
    <w:p w14:paraId="43B3832A">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薄弱村土地流转奖补</w:t>
      </w:r>
      <w:r>
        <w:rPr>
          <w:rFonts w:hint="eastAsia" w:ascii="仿宋_GB2312" w:hAnsi="仿宋_GB2312" w:eastAsia="仿宋_GB2312" w:cs="仿宋_GB2312"/>
          <w:b/>
          <w:bCs/>
          <w:sz w:val="32"/>
          <w:szCs w:val="32"/>
          <w:lang w:val="en-US" w:eastAsia="zh-CN"/>
        </w:rPr>
        <w:t>50.17万元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鼓励薄弱村参与市级土地流转示范片建设。本专项资金主要对薄弱村新增流转合同规范、规模在50亩以上的流转土地，市、县两级财政按每亩不少于500元标准实行一次性资金奖补，其中市级财政奖补250元/亩。</w:t>
      </w:r>
      <w:r>
        <w:rPr>
          <w:rFonts w:hint="eastAsia" w:ascii="仿宋_GB2312" w:hAnsi="仿宋_GB2312" w:eastAsia="仿宋_GB2312" w:cs="仿宋_GB2312"/>
          <w:b w:val="0"/>
          <w:bCs w:val="0"/>
          <w:sz w:val="32"/>
          <w:szCs w:val="32"/>
          <w:lang w:val="en-US" w:eastAsia="zh-CN"/>
        </w:rPr>
        <w:t>2022年支持3条村奖补25.94万元，2023年支持6条村奖补24.23万元。</w:t>
      </w:r>
    </w:p>
    <w:p w14:paraId="6964F674">
      <w:pPr>
        <w:spacing w:line="580" w:lineRule="exact"/>
        <w:ind w:firstLine="643"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rPr>
        <w:t>扶持本市革命老区建设和农户发展生产</w:t>
      </w:r>
      <w:r>
        <w:rPr>
          <w:rFonts w:hint="eastAsia" w:ascii="仿宋_GB2312" w:hAnsi="仿宋_GB2312" w:eastAsia="仿宋_GB2312" w:cs="仿宋_GB2312"/>
          <w:b/>
          <w:bCs/>
          <w:sz w:val="32"/>
          <w:szCs w:val="32"/>
          <w:lang w:eastAsia="zh-CN"/>
        </w:rPr>
        <w:t>专项（含烈士后裔市级补助）</w:t>
      </w:r>
      <w:r>
        <w:rPr>
          <w:rFonts w:hint="eastAsia" w:ascii="仿宋_GB2312" w:hAnsi="仿宋_GB2312" w:eastAsia="仿宋_GB2312" w:cs="仿宋_GB2312"/>
          <w:b/>
          <w:bCs/>
          <w:sz w:val="32"/>
          <w:szCs w:val="32"/>
          <w:lang w:val="en-US" w:eastAsia="zh-CN"/>
        </w:rPr>
        <w:t>1840万元</w:t>
      </w:r>
      <w:r>
        <w:rPr>
          <w:rFonts w:hint="eastAsia" w:ascii="仿宋_GB2312" w:hAnsi="仿宋_GB2312" w:eastAsia="仿宋_GB2312" w:cs="仿宋_GB2312"/>
          <w:b w:val="0"/>
          <w:bCs w:val="0"/>
          <w:sz w:val="32"/>
          <w:szCs w:val="32"/>
          <w:lang w:eastAsia="zh-CN"/>
        </w:rPr>
        <w:t>。依据</w:t>
      </w:r>
      <w:r>
        <w:rPr>
          <w:rFonts w:hint="eastAsia" w:ascii="仿宋_GB2312" w:hAnsi="仿宋_GB2312" w:eastAsia="仿宋_GB2312" w:cs="仿宋_GB2312"/>
          <w:sz w:val="32"/>
          <w:szCs w:val="32"/>
          <w:lang w:val="en-US" w:eastAsia="zh-CN"/>
        </w:rPr>
        <w:t>《江门市推动革命老区振兴发展实施意见》设立，每年</w:t>
      </w:r>
      <w:r>
        <w:rPr>
          <w:rFonts w:hint="eastAsia" w:ascii="仿宋_GB2312" w:hAnsi="仿宋_GB2312" w:eastAsia="仿宋_GB2312" w:cs="仿宋_GB2312"/>
          <w:b w:val="0"/>
          <w:bCs w:val="0"/>
          <w:sz w:val="32"/>
          <w:szCs w:val="32"/>
          <w:lang w:eastAsia="zh-CN"/>
        </w:rPr>
        <w:t>安排扶持本市革命老区发展和农户发展生产专项资金500万元，主要用于推动革命老区振兴发展各项工作措施落地,含扶持老区、农户发展生产，扶持老区道路、饮水等基础设施建设，扶持红色教育基地建设等。</w:t>
      </w:r>
      <w:r>
        <w:rPr>
          <w:rFonts w:hint="eastAsia" w:ascii="仿宋_GB2312" w:hAnsi="仿宋_GB2312" w:eastAsia="仿宋_GB2312" w:cs="仿宋_GB2312"/>
          <w:b w:val="0"/>
          <w:bCs w:val="0"/>
          <w:sz w:val="32"/>
          <w:szCs w:val="32"/>
          <w:lang w:val="en-US" w:eastAsia="zh-CN"/>
        </w:rPr>
        <w:t>2021-2024年共实施老区项目215个，安排市级补助资金1800万元。每年</w:t>
      </w:r>
      <w:r>
        <w:rPr>
          <w:rFonts w:hint="eastAsia" w:ascii="仿宋_GB2312" w:hAnsi="仿宋_GB2312" w:eastAsia="仿宋_GB2312" w:cs="仿宋_GB2312"/>
          <w:b w:val="0"/>
          <w:bCs w:val="0"/>
          <w:sz w:val="32"/>
          <w:szCs w:val="32"/>
          <w:lang w:eastAsia="zh-CN"/>
        </w:rPr>
        <w:t>安排烈士后裔助学金市级补助资金8万元，</w:t>
      </w:r>
      <w:r>
        <w:rPr>
          <w:rFonts w:hint="eastAsia" w:ascii="仿宋_GB2312" w:hAnsi="仿宋_GB2312" w:eastAsia="仿宋_GB2312" w:cs="仿宋_GB2312"/>
          <w:b w:val="0"/>
          <w:bCs w:val="0"/>
          <w:sz w:val="32"/>
          <w:szCs w:val="32"/>
          <w:lang w:val="en-US" w:eastAsia="zh-CN"/>
        </w:rPr>
        <w:t>5年合计40万元</w:t>
      </w:r>
      <w:r>
        <w:rPr>
          <w:rFonts w:hint="eastAsia" w:ascii="仿宋_GB2312" w:hAnsi="仿宋_GB2312" w:eastAsia="仿宋_GB2312" w:cs="仿宋_GB2312"/>
          <w:b w:val="0"/>
          <w:bCs w:val="0"/>
          <w:sz w:val="32"/>
          <w:szCs w:val="32"/>
          <w:lang w:eastAsia="zh-CN"/>
        </w:rPr>
        <w:t>。项目已全部完成。</w:t>
      </w:r>
    </w:p>
    <w:p w14:paraId="251686AE">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扶持产业发展专项</w:t>
      </w:r>
      <w:r>
        <w:rPr>
          <w:rFonts w:hint="eastAsia" w:ascii="仿宋_GB2312" w:hAnsi="仿宋_GB2312" w:eastAsia="仿宋_GB2312" w:cs="仿宋_GB2312"/>
          <w:b/>
          <w:bCs/>
          <w:sz w:val="32"/>
          <w:szCs w:val="32"/>
          <w:lang w:val="en-US" w:eastAsia="zh-CN"/>
        </w:rPr>
        <w:t>2553.21万元</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val="en-US" w:eastAsia="zh-CN"/>
        </w:rPr>
        <w:t>2021年安排产业帮扶资金919.27万元，共实施项目38个，支持提升脱贫质量，实现长效稳定脱贫，重点用于扶持产业、资产收益等帮扶项目。2022年整合到</w:t>
      </w:r>
      <w:r>
        <w:rPr>
          <w:rFonts w:hint="eastAsia" w:ascii="仿宋_GB2312" w:hAnsi="仿宋_GB2312" w:eastAsia="仿宋_GB2312" w:cs="仿宋_GB2312"/>
          <w:b w:val="0"/>
          <w:bCs w:val="0"/>
          <w:sz w:val="32"/>
          <w:szCs w:val="32"/>
        </w:rPr>
        <w:t>扶持乡村振兴重点帮扶镇特色产业发展专项资金</w:t>
      </w:r>
      <w:r>
        <w:rPr>
          <w:rFonts w:hint="eastAsia" w:ascii="仿宋_GB2312" w:hAnsi="仿宋_GB2312" w:eastAsia="仿宋_GB2312" w:cs="仿宋_GB2312"/>
          <w:b w:val="0"/>
          <w:bCs w:val="0"/>
          <w:sz w:val="32"/>
          <w:szCs w:val="32"/>
          <w:lang w:eastAsia="zh-CN"/>
        </w:rPr>
        <w:t>，用于重点帮扶镇发展特色产业项目，</w:t>
      </w:r>
      <w:r>
        <w:rPr>
          <w:rFonts w:hint="eastAsia" w:ascii="仿宋_GB2312" w:hAnsi="仿宋_GB2312" w:eastAsia="仿宋_GB2312" w:cs="仿宋_GB2312"/>
          <w:b w:val="0"/>
          <w:bCs w:val="0"/>
          <w:sz w:val="32"/>
          <w:szCs w:val="32"/>
          <w:lang w:val="en-US" w:eastAsia="zh-CN"/>
        </w:rPr>
        <w:t>2022-2023年</w:t>
      </w:r>
      <w:r>
        <w:rPr>
          <w:rFonts w:hint="eastAsia" w:ascii="仿宋_GB2312" w:hAnsi="仿宋_GB2312" w:eastAsia="仿宋_GB2312" w:cs="仿宋_GB2312"/>
          <w:b w:val="0"/>
          <w:bCs w:val="0"/>
          <w:sz w:val="32"/>
          <w:szCs w:val="32"/>
          <w:lang w:eastAsia="zh-CN"/>
        </w:rPr>
        <w:t>共实施项目</w:t>
      </w:r>
      <w:r>
        <w:rPr>
          <w:rFonts w:hint="eastAsia" w:ascii="仿宋_GB2312" w:hAnsi="仿宋_GB2312" w:eastAsia="仿宋_GB2312" w:cs="仿宋_GB2312"/>
          <w:b w:val="0"/>
          <w:bCs w:val="0"/>
          <w:sz w:val="32"/>
          <w:szCs w:val="32"/>
          <w:lang w:val="en-US" w:eastAsia="zh-CN"/>
        </w:rPr>
        <w:t>6个，支持市级衔接资金1633.94万元，项目受益重点帮扶镇22个。</w:t>
      </w:r>
    </w:p>
    <w:p w14:paraId="7435C24C">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实施江门市农业农村人才倍增培育培训专项</w:t>
      </w:r>
      <w:r>
        <w:rPr>
          <w:rFonts w:hint="eastAsia" w:ascii="仿宋_GB2312" w:hAnsi="仿宋_GB2312" w:eastAsia="仿宋_GB2312" w:cs="仿宋_GB2312"/>
          <w:b/>
          <w:bCs/>
          <w:sz w:val="32"/>
          <w:szCs w:val="32"/>
          <w:lang w:val="en-US" w:eastAsia="zh-CN"/>
        </w:rPr>
        <w:t>207.25万元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2022-2023年合计支持207.25万元，用于市农业农村局举办农业产业高质量发展支撑人才倍增专项培训、农业经理人培训、创新创业农科人才培训等。</w:t>
      </w:r>
    </w:p>
    <w:p w14:paraId="70398B3A">
      <w:pPr>
        <w:spacing w:line="580" w:lineRule="exact"/>
        <w:ind w:firstLine="643"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rPr>
        <w:t>支持提升乡村振兴基础设施建设及镇域公共服务类项目专项资金</w:t>
      </w:r>
      <w:r>
        <w:rPr>
          <w:rFonts w:hint="eastAsia" w:ascii="仿宋_GB2312" w:hAnsi="仿宋_GB2312" w:eastAsia="仿宋_GB2312" w:cs="仿宋_GB2312"/>
          <w:b/>
          <w:bCs/>
          <w:sz w:val="32"/>
          <w:szCs w:val="32"/>
          <w:lang w:val="en-US" w:eastAsia="zh-CN"/>
        </w:rPr>
        <w:t>2640万元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2021年安排市级全域自然村集中供水全覆盖市级补助1000万元，完成本市全域自然村集中供水覆盖任务；安排台山市台城街道桂水村乡村振兴建设资金1000万元；安排扶持“四好农村路”建设配套专项资金200万元。2022-2023年共补助市级衔接资金440万元，补助25个驻镇帮镇扶村补短板项目。</w:t>
      </w:r>
    </w:p>
    <w:p w14:paraId="4EA46CA2">
      <w:pPr>
        <w:spacing w:line="580" w:lineRule="exact"/>
        <w:ind w:firstLine="643" w:firstLineChars="200"/>
        <w:rPr>
          <w:rFonts w:hint="eastAsia" w:ascii="仿宋_GB2312" w:hAnsi="仿宋_GB2312" w:eastAsia="仿宋_GB2312" w:cs="仿宋_GB2312"/>
          <w:b w:val="0"/>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对口帮扶专项资金</w:t>
      </w:r>
      <w:r>
        <w:rPr>
          <w:rFonts w:hint="eastAsia" w:ascii="仿宋_GB2312" w:hAnsi="仿宋_GB2312" w:eastAsia="仿宋_GB2312" w:cs="仿宋_GB2312"/>
          <w:b/>
          <w:bCs/>
          <w:sz w:val="32"/>
          <w:szCs w:val="32"/>
          <w:lang w:val="en-US" w:eastAsia="zh-CN"/>
        </w:rPr>
        <w:t>27098</w:t>
      </w:r>
      <w:r>
        <w:rPr>
          <w:rFonts w:hint="eastAsia" w:ascii="仿宋_GB2312" w:hAnsi="仿宋_GB2312" w:eastAsia="仿宋_GB2312" w:cs="仿宋_GB2312"/>
          <w:b/>
          <w:bCs/>
          <w:sz w:val="32"/>
          <w:szCs w:val="32"/>
        </w:rPr>
        <w:t>万元</w:t>
      </w:r>
    </w:p>
    <w:p w14:paraId="4E926C53">
      <w:pPr>
        <w:spacing w:line="580"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对口支援重庆巫山县专项资金</w:t>
      </w:r>
      <w:r>
        <w:rPr>
          <w:rFonts w:hint="eastAsia" w:ascii="仿宋_GB2312" w:hAnsi="仿宋_GB2312" w:eastAsia="仿宋_GB2312" w:cs="仿宋_GB2312"/>
          <w:b/>
          <w:bCs/>
          <w:sz w:val="32"/>
          <w:szCs w:val="32"/>
          <w:lang w:val="en-US" w:eastAsia="zh-CN"/>
        </w:rPr>
        <w:t>790</w:t>
      </w:r>
      <w:r>
        <w:rPr>
          <w:rFonts w:hint="eastAsia" w:ascii="仿宋_GB2312" w:hAnsi="仿宋_GB2312" w:eastAsia="仿宋_GB2312" w:cs="仿宋_GB2312"/>
          <w:b/>
          <w:bCs/>
          <w:sz w:val="32"/>
          <w:szCs w:val="32"/>
        </w:rPr>
        <w:t>万元</w:t>
      </w:r>
      <w:r>
        <w:rPr>
          <w:rFonts w:hint="eastAsia" w:ascii="仿宋_GB2312" w:hAnsi="仿宋_GB2312" w:eastAsia="仿宋_GB2312" w:cs="仿宋_GB2312"/>
          <w:sz w:val="32"/>
          <w:szCs w:val="32"/>
        </w:rPr>
        <w:t>。根据省要求我市继续实施支援巫山县三峡库区移民工作，并按照省要求</w:t>
      </w:r>
      <w:r>
        <w:rPr>
          <w:rFonts w:hint="eastAsia" w:ascii="仿宋_GB2312" w:hAnsi="仿宋_GB2312" w:eastAsia="仿宋_GB2312" w:cs="仿宋_GB2312"/>
          <w:sz w:val="32"/>
          <w:szCs w:val="32"/>
          <w:lang w:val="en-US" w:eastAsia="zh-CN"/>
        </w:rPr>
        <w:t>2021年</w:t>
      </w:r>
      <w:r>
        <w:rPr>
          <w:rFonts w:hint="eastAsia" w:ascii="仿宋_GB2312" w:hAnsi="仿宋_GB2312" w:eastAsia="仿宋_GB2312" w:cs="仿宋_GB2312"/>
          <w:sz w:val="32"/>
          <w:szCs w:val="32"/>
        </w:rPr>
        <w:t>安排</w:t>
      </w:r>
      <w:r>
        <w:rPr>
          <w:rFonts w:hint="eastAsia" w:ascii="仿宋_GB2312" w:hAnsi="仿宋_GB2312" w:eastAsia="仿宋_GB2312" w:cs="仿宋_GB2312"/>
          <w:sz w:val="32"/>
          <w:szCs w:val="32"/>
          <w:lang w:val="en-US" w:eastAsia="zh-CN"/>
        </w:rPr>
        <w:t>146万元，2022-2025每年安排</w:t>
      </w:r>
      <w:r>
        <w:rPr>
          <w:rFonts w:hint="eastAsia" w:ascii="仿宋_GB2312" w:hAnsi="仿宋_GB2312" w:eastAsia="仿宋_GB2312" w:cs="仿宋_GB2312"/>
          <w:sz w:val="32"/>
          <w:szCs w:val="32"/>
        </w:rPr>
        <w:t>161万元,用于巫山县乡村振兴配套建设项目。</w:t>
      </w:r>
    </w:p>
    <w:p w14:paraId="1D67A829">
      <w:pPr>
        <w:spacing w:line="58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对口协作广西崇左市项目专项资金</w:t>
      </w:r>
      <w:r>
        <w:rPr>
          <w:rFonts w:hint="eastAsia" w:ascii="仿宋_GB2312" w:hAnsi="仿宋_GB2312" w:eastAsia="仿宋_GB2312" w:cs="仿宋_GB2312"/>
          <w:b/>
          <w:bCs/>
          <w:sz w:val="32"/>
          <w:szCs w:val="32"/>
          <w:lang w:val="en-US" w:eastAsia="zh-CN"/>
        </w:rPr>
        <w:t>26308</w:t>
      </w:r>
      <w:r>
        <w:rPr>
          <w:rFonts w:hint="eastAsia" w:ascii="仿宋_GB2312" w:hAnsi="仿宋_GB2312" w:eastAsia="仿宋_GB2312" w:cs="仿宋_GB2312"/>
          <w:b/>
          <w:bCs/>
          <w:sz w:val="32"/>
          <w:szCs w:val="32"/>
        </w:rPr>
        <w:t>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根据省要求，从2021年起，新阶段东西部协作江门市继续结对帮扶广西壮族自治区崇左市的天等县、大新县、宁明县、龙州县等4个县，</w:t>
      </w:r>
      <w:r>
        <w:rPr>
          <w:rFonts w:hint="eastAsia" w:ascii="仿宋_GB2312" w:hAnsi="仿宋_GB2312" w:eastAsia="仿宋_GB2312" w:cs="仿宋_GB2312"/>
          <w:sz w:val="32"/>
          <w:szCs w:val="32"/>
          <w:lang w:eastAsia="zh-CN"/>
        </w:rPr>
        <w:t>协作</w:t>
      </w:r>
      <w:r>
        <w:rPr>
          <w:rFonts w:hint="eastAsia" w:ascii="仿宋_GB2312" w:hAnsi="仿宋_GB2312" w:eastAsia="仿宋_GB2312" w:cs="仿宋_GB2312"/>
          <w:sz w:val="32"/>
          <w:szCs w:val="32"/>
        </w:rPr>
        <w:t>资金全部划拨到东西部协作广西壮族自治区财政厅，由区财政厅统一拨付到新阶段对口帮扶崇左市结对县</w:t>
      </w:r>
      <w:r>
        <w:rPr>
          <w:rFonts w:hint="eastAsia" w:ascii="仿宋_GB2312" w:hAnsi="仿宋_GB2312" w:eastAsia="仿宋_GB2312" w:cs="仿宋_GB2312"/>
          <w:sz w:val="32"/>
          <w:szCs w:val="32"/>
          <w:lang w:eastAsia="zh-CN"/>
        </w:rPr>
        <w:t>。协作</w:t>
      </w:r>
      <w:r>
        <w:rPr>
          <w:rFonts w:hint="eastAsia" w:ascii="仿宋_GB2312" w:hAnsi="仿宋_GB2312" w:eastAsia="仿宋_GB2312" w:cs="仿宋_GB2312"/>
          <w:sz w:val="32"/>
          <w:szCs w:val="32"/>
        </w:rPr>
        <w:t>资金主要用于我市对口援助的崇左市结对帮扶县的项目建设，并优先支持国家乡村振兴重点帮扶县项目建设。</w:t>
      </w:r>
      <w:r>
        <w:rPr>
          <w:rFonts w:hint="eastAsia" w:ascii="仿宋_GB2312" w:hAnsi="仿宋_GB2312" w:eastAsia="仿宋_GB2312" w:cs="仿宋_GB2312"/>
          <w:sz w:val="32"/>
          <w:szCs w:val="32"/>
          <w:lang w:val="en-US" w:eastAsia="zh-CN"/>
        </w:rPr>
        <w:t>2021年安排3558万元，2022年安排5500万元，2023-2025年安排5750万元。</w:t>
      </w:r>
    </w:p>
    <w:p w14:paraId="71AB507D">
      <w:pPr>
        <w:numPr>
          <w:ilvl w:val="0"/>
          <w:numId w:val="1"/>
        </w:numPr>
        <w:snapToGrid/>
        <w:spacing w:line="580" w:lineRule="exact"/>
        <w:ind w:left="0" w:leftChars="0" w:firstLine="643" w:firstLineChars="200"/>
        <w:rPr>
          <w:rFonts w:hint="eastAsia" w:ascii="仿宋_GB2312" w:hAnsi="仿宋_GB2312" w:eastAsia="仿宋_GB2312" w:cs="仿宋_GB2312"/>
          <w:b/>
          <w:bCs/>
          <w:kern w:val="2"/>
          <w:sz w:val="32"/>
          <w:szCs w:val="32"/>
          <w:lang w:eastAsia="zh-CN"/>
        </w:rPr>
      </w:pPr>
      <w:r>
        <w:rPr>
          <w:rFonts w:hint="eastAsia" w:ascii="仿宋_GB2312" w:hAnsi="仿宋_GB2312" w:eastAsia="仿宋_GB2312" w:cs="仿宋_GB2312"/>
          <w:b/>
          <w:bCs/>
          <w:kern w:val="2"/>
          <w:sz w:val="32"/>
          <w:szCs w:val="32"/>
        </w:rPr>
        <w:t>其他</w:t>
      </w:r>
      <w:r>
        <w:rPr>
          <w:rFonts w:hint="eastAsia" w:ascii="仿宋_GB2312" w:hAnsi="仿宋_GB2312" w:eastAsia="仿宋_GB2312" w:cs="仿宋_GB2312"/>
          <w:b/>
          <w:bCs/>
          <w:kern w:val="2"/>
          <w:sz w:val="32"/>
          <w:szCs w:val="32"/>
          <w:lang w:eastAsia="zh-CN"/>
        </w:rPr>
        <w:t>工作经费</w:t>
      </w:r>
      <w:r>
        <w:rPr>
          <w:rFonts w:hint="eastAsia" w:ascii="仿宋_GB2312" w:hAnsi="仿宋_GB2312" w:eastAsia="仿宋_GB2312" w:cs="仿宋_GB2312"/>
          <w:b/>
          <w:bCs/>
          <w:sz w:val="32"/>
          <w:szCs w:val="32"/>
          <w:lang w:val="en-US" w:eastAsia="zh-CN"/>
        </w:rPr>
        <w:t>569.59</w:t>
      </w:r>
      <w:r>
        <w:rPr>
          <w:rFonts w:hint="eastAsia" w:ascii="仿宋_GB2312" w:hAnsi="仿宋_GB2312" w:eastAsia="仿宋_GB2312" w:cs="仿宋_GB2312"/>
          <w:b/>
          <w:bCs/>
          <w:kern w:val="2"/>
          <w:sz w:val="32"/>
          <w:szCs w:val="32"/>
        </w:rPr>
        <w:t>万元</w:t>
      </w:r>
      <w:r>
        <w:rPr>
          <w:rFonts w:hint="eastAsia" w:ascii="仿宋_GB2312" w:hAnsi="仿宋_GB2312" w:eastAsia="仿宋_GB2312" w:cs="仿宋_GB2312"/>
          <w:b/>
          <w:bCs/>
          <w:kern w:val="2"/>
          <w:sz w:val="32"/>
          <w:szCs w:val="32"/>
          <w:lang w:eastAsia="zh-CN"/>
        </w:rPr>
        <w:t>（不纳入绩效评价）</w:t>
      </w:r>
    </w:p>
    <w:tbl>
      <w:tblPr>
        <w:tblStyle w:val="6"/>
        <w:tblW w:w="8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3"/>
        <w:gridCol w:w="1433"/>
        <w:gridCol w:w="1434"/>
        <w:gridCol w:w="1333"/>
        <w:gridCol w:w="1383"/>
        <w:gridCol w:w="1594"/>
      </w:tblGrid>
      <w:tr w14:paraId="7090A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8120" w:type="dxa"/>
            <w:gridSpan w:val="6"/>
            <w:tcBorders>
              <w:top w:val="nil"/>
              <w:left w:val="nil"/>
              <w:bottom w:val="nil"/>
              <w:right w:val="nil"/>
            </w:tcBorders>
            <w:shd w:val="clear" w:color="auto" w:fill="auto"/>
            <w:noWrap/>
            <w:vAlign w:val="center"/>
          </w:tcPr>
          <w:p w14:paraId="4B7E164C">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2021-2025年度市级衔接推进乡村振兴资金分配统计表</w:t>
            </w:r>
          </w:p>
        </w:tc>
      </w:tr>
      <w:tr w14:paraId="1524D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943" w:type="dxa"/>
            <w:tcBorders>
              <w:top w:val="nil"/>
              <w:left w:val="nil"/>
              <w:bottom w:val="nil"/>
              <w:right w:val="nil"/>
            </w:tcBorders>
            <w:shd w:val="clear" w:color="auto" w:fill="auto"/>
            <w:noWrap/>
            <w:vAlign w:val="center"/>
          </w:tcPr>
          <w:p w14:paraId="2B499B86">
            <w:pPr>
              <w:jc w:val="center"/>
              <w:rPr>
                <w:rFonts w:hint="eastAsia" w:ascii="宋体" w:hAnsi="宋体" w:eastAsia="宋体" w:cs="宋体"/>
                <w:i w:val="0"/>
                <w:color w:val="000000"/>
                <w:sz w:val="22"/>
                <w:szCs w:val="22"/>
                <w:u w:val="none"/>
              </w:rPr>
            </w:pPr>
          </w:p>
        </w:tc>
        <w:tc>
          <w:tcPr>
            <w:tcW w:w="1433" w:type="dxa"/>
            <w:tcBorders>
              <w:top w:val="nil"/>
              <w:left w:val="nil"/>
              <w:bottom w:val="nil"/>
              <w:right w:val="nil"/>
            </w:tcBorders>
            <w:shd w:val="clear" w:color="auto" w:fill="auto"/>
            <w:noWrap/>
            <w:vAlign w:val="center"/>
          </w:tcPr>
          <w:p w14:paraId="23B05AA0">
            <w:pPr>
              <w:jc w:val="center"/>
              <w:rPr>
                <w:rFonts w:hint="eastAsia" w:ascii="宋体" w:hAnsi="宋体" w:eastAsia="宋体" w:cs="宋体"/>
                <w:i w:val="0"/>
                <w:color w:val="000000"/>
                <w:sz w:val="22"/>
                <w:szCs w:val="22"/>
                <w:u w:val="none"/>
              </w:rPr>
            </w:pPr>
          </w:p>
        </w:tc>
        <w:tc>
          <w:tcPr>
            <w:tcW w:w="1434" w:type="dxa"/>
            <w:tcBorders>
              <w:top w:val="nil"/>
              <w:left w:val="nil"/>
              <w:bottom w:val="nil"/>
              <w:right w:val="nil"/>
            </w:tcBorders>
            <w:shd w:val="clear" w:color="auto" w:fill="auto"/>
            <w:noWrap/>
            <w:vAlign w:val="center"/>
          </w:tcPr>
          <w:p w14:paraId="233E1718">
            <w:pPr>
              <w:rPr>
                <w:rFonts w:hint="eastAsia" w:ascii="宋体" w:hAnsi="宋体" w:eastAsia="宋体" w:cs="宋体"/>
                <w:i w:val="0"/>
                <w:color w:val="000000"/>
                <w:sz w:val="22"/>
                <w:szCs w:val="22"/>
                <w:u w:val="none"/>
              </w:rPr>
            </w:pPr>
          </w:p>
        </w:tc>
        <w:tc>
          <w:tcPr>
            <w:tcW w:w="1333" w:type="dxa"/>
            <w:tcBorders>
              <w:top w:val="nil"/>
              <w:left w:val="nil"/>
              <w:bottom w:val="nil"/>
              <w:right w:val="nil"/>
            </w:tcBorders>
            <w:shd w:val="clear" w:color="auto" w:fill="auto"/>
            <w:noWrap/>
            <w:vAlign w:val="center"/>
          </w:tcPr>
          <w:p w14:paraId="2A820077">
            <w:pPr>
              <w:jc w:val="center"/>
              <w:rPr>
                <w:rFonts w:hint="eastAsia" w:ascii="宋体" w:hAnsi="宋体" w:eastAsia="宋体" w:cs="宋体"/>
                <w:i w:val="0"/>
                <w:color w:val="000000"/>
                <w:sz w:val="22"/>
                <w:szCs w:val="22"/>
                <w:u w:val="none"/>
              </w:rPr>
            </w:pPr>
          </w:p>
        </w:tc>
        <w:tc>
          <w:tcPr>
            <w:tcW w:w="1383" w:type="dxa"/>
            <w:tcBorders>
              <w:top w:val="nil"/>
              <w:left w:val="nil"/>
              <w:bottom w:val="nil"/>
              <w:right w:val="nil"/>
            </w:tcBorders>
            <w:shd w:val="clear" w:color="auto" w:fill="auto"/>
            <w:noWrap/>
            <w:vAlign w:val="center"/>
          </w:tcPr>
          <w:p w14:paraId="356E03BA">
            <w:pPr>
              <w:jc w:val="center"/>
              <w:rPr>
                <w:rFonts w:hint="eastAsia" w:ascii="宋体" w:hAnsi="宋体" w:eastAsia="宋体" w:cs="宋体"/>
                <w:i w:val="0"/>
                <w:color w:val="000000"/>
                <w:sz w:val="22"/>
                <w:szCs w:val="22"/>
                <w:u w:val="none"/>
              </w:rPr>
            </w:pPr>
          </w:p>
        </w:tc>
        <w:tc>
          <w:tcPr>
            <w:tcW w:w="1594" w:type="dxa"/>
            <w:tcBorders>
              <w:top w:val="nil"/>
              <w:left w:val="nil"/>
              <w:bottom w:val="nil"/>
              <w:right w:val="nil"/>
            </w:tcBorders>
            <w:shd w:val="clear" w:color="auto" w:fill="auto"/>
            <w:noWrap/>
            <w:vAlign w:val="center"/>
          </w:tcPr>
          <w:p w14:paraId="221BA2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单位：万元</w:t>
            </w:r>
          </w:p>
        </w:tc>
      </w:tr>
      <w:tr w14:paraId="07D2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6"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95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年度</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FEB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用于驻镇帮镇扶村（含防止返贫致贫）</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76F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用于东西部协作</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FF2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支持巫山</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0D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其他费用</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93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r>
      <w:tr w14:paraId="10A3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90D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2021</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0A81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7169.20 </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82EF4">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3558.00</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AE30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146.00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7E1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232.79</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5E140">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11105.99 </w:t>
            </w:r>
          </w:p>
        </w:tc>
      </w:tr>
      <w:tr w14:paraId="22BC0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3EC1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D71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5022.38 </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C84B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5500.00</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A12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161.00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1B1BA">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86.00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9E1F7">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10769.38 </w:t>
            </w:r>
          </w:p>
        </w:tc>
      </w:tr>
      <w:tr w14:paraId="5F9E7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1E8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2023</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13E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2116.44 </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DA62">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5750.00</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3BF9B">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161.00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7519">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91.00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4780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8118.44 </w:t>
            </w:r>
          </w:p>
        </w:tc>
      </w:tr>
      <w:tr w14:paraId="5B722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B4E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B08B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148.04 </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DE3BA">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5750.00</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07D4C">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161.00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DEAD">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80.90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5C71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6139.94 </w:t>
            </w:r>
          </w:p>
        </w:tc>
      </w:tr>
      <w:tr w14:paraId="16CF5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1612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2025</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C231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315.26 </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884F8">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5750.00</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923E">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161.00</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14BB">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78.90</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23A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6305.16 </w:t>
            </w:r>
          </w:p>
        </w:tc>
      </w:tr>
      <w:tr w14:paraId="0F255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960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6BC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14771.32 </w:t>
            </w:r>
          </w:p>
        </w:tc>
        <w:tc>
          <w:tcPr>
            <w:tcW w:w="14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CB2C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26308.00 </w:t>
            </w:r>
          </w:p>
        </w:tc>
        <w:tc>
          <w:tcPr>
            <w:tcW w:w="13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1D6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790.00 </w:t>
            </w:r>
          </w:p>
        </w:tc>
        <w:tc>
          <w:tcPr>
            <w:tcW w:w="13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907F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569.59 </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58B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42438.91 </w:t>
            </w:r>
          </w:p>
        </w:tc>
      </w:tr>
    </w:tbl>
    <w:p w14:paraId="05F66840">
      <w:pPr>
        <w:spacing w:line="580" w:lineRule="exact"/>
        <w:ind w:firstLine="641" w:firstLineChars="200"/>
        <w:outlineLvl w:val="9"/>
        <w:rPr>
          <w:rFonts w:hint="eastAsia" w:ascii="华文楷体" w:hAnsi="华文楷体" w:eastAsia="华文楷体" w:cs="华文楷体"/>
          <w:b/>
          <w:bCs/>
          <w:kern w:val="2"/>
          <w:sz w:val="32"/>
          <w:szCs w:val="32"/>
        </w:rPr>
      </w:pPr>
      <w:r>
        <w:rPr>
          <w:rFonts w:hint="eastAsia" w:ascii="华文楷体" w:hAnsi="华文楷体" w:eastAsia="华文楷体" w:cs="华文楷体"/>
          <w:b/>
          <w:bCs/>
          <w:sz w:val="32"/>
          <w:szCs w:val="32"/>
        </w:rPr>
        <w:t>（二）</w:t>
      </w:r>
      <w:r>
        <w:rPr>
          <w:rFonts w:hint="eastAsia" w:ascii="华文楷体" w:hAnsi="华文楷体" w:eastAsia="华文楷体" w:cs="华文楷体"/>
          <w:b/>
          <w:bCs/>
          <w:sz w:val="32"/>
          <w:szCs w:val="32"/>
          <w:lang w:eastAsia="zh-CN"/>
        </w:rPr>
        <w:t>事项管理</w:t>
      </w:r>
    </w:p>
    <w:p w14:paraId="5295CD44">
      <w:pPr>
        <w:spacing w:line="580" w:lineRule="exact"/>
        <w:ind w:firstLine="643" w:firstLineChars="200"/>
        <w:outlineLvl w:val="9"/>
        <w:rPr>
          <w:rFonts w:hint="eastAsia" w:ascii="仿宋_GB2312" w:hAnsi="仿宋_GB2312" w:eastAsia="仿宋_GB2312" w:cs="仿宋_GB2312"/>
          <w:b/>
          <w:bCs/>
          <w:kern w:val="2"/>
          <w:sz w:val="32"/>
          <w:szCs w:val="32"/>
        </w:rPr>
      </w:pPr>
      <w:r>
        <w:rPr>
          <w:rFonts w:hint="eastAsia" w:ascii="仿宋_GB2312" w:hAnsi="仿宋_GB2312" w:eastAsia="仿宋_GB2312" w:cs="仿宋_GB2312"/>
          <w:b/>
          <w:bCs/>
          <w:kern w:val="2"/>
          <w:sz w:val="32"/>
          <w:szCs w:val="32"/>
          <w:lang w:val="en-US" w:eastAsia="zh-CN"/>
        </w:rPr>
        <w:t>1、</w:t>
      </w:r>
      <w:r>
        <w:rPr>
          <w:rFonts w:hint="eastAsia" w:ascii="仿宋_GB2312" w:hAnsi="仿宋_GB2312" w:eastAsia="仿宋_GB2312" w:cs="仿宋_GB2312"/>
          <w:b/>
          <w:bCs/>
          <w:kern w:val="2"/>
          <w:sz w:val="32"/>
          <w:szCs w:val="32"/>
        </w:rPr>
        <w:t>资金到位</w:t>
      </w:r>
      <w:r>
        <w:rPr>
          <w:rFonts w:hint="eastAsia" w:ascii="仿宋_GB2312" w:hAnsi="仿宋_GB2312" w:eastAsia="仿宋_GB2312" w:cs="仿宋_GB2312"/>
          <w:b/>
          <w:bCs/>
          <w:kern w:val="2"/>
          <w:sz w:val="32"/>
          <w:szCs w:val="32"/>
          <w:lang w:eastAsia="zh-CN"/>
        </w:rPr>
        <w:t>及</w:t>
      </w:r>
      <w:r>
        <w:rPr>
          <w:rFonts w:hint="eastAsia" w:ascii="仿宋_GB2312" w:hAnsi="仿宋_GB2312" w:eastAsia="仿宋_GB2312" w:cs="仿宋_GB2312"/>
          <w:b/>
          <w:bCs/>
          <w:kern w:val="2"/>
          <w:sz w:val="32"/>
          <w:szCs w:val="32"/>
        </w:rPr>
        <w:t>支付情况</w:t>
      </w:r>
    </w:p>
    <w:p w14:paraId="038C78DE">
      <w:pPr>
        <w:spacing w:line="580" w:lineRule="exact"/>
        <w:ind w:firstLine="640" w:firstLineChars="200"/>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kern w:val="2"/>
          <w:sz w:val="32"/>
          <w:szCs w:val="32"/>
          <w:lang w:val="en-US" w:eastAsia="zh-CN"/>
        </w:rPr>
        <w:t>2021-2025年市本级预算20444.29万元，全部投入到</w:t>
      </w:r>
      <w:r>
        <w:rPr>
          <w:rFonts w:hint="eastAsia" w:ascii="仿宋_GB2312" w:hAnsi="仿宋_GB2312" w:eastAsia="仿宋_GB2312" w:cs="仿宋_GB2312"/>
          <w:b w:val="0"/>
          <w:bCs w:val="0"/>
          <w:sz w:val="32"/>
          <w:szCs w:val="32"/>
        </w:rPr>
        <w:t>江门市衔接推进乡村振兴专项资金</w:t>
      </w:r>
      <w:r>
        <w:rPr>
          <w:rFonts w:hint="eastAsia" w:ascii="仿宋_GB2312" w:hAnsi="仿宋_GB2312" w:eastAsia="仿宋_GB2312" w:cs="仿宋_GB2312"/>
          <w:b w:val="0"/>
          <w:bCs w:val="0"/>
          <w:sz w:val="32"/>
          <w:szCs w:val="32"/>
          <w:lang w:eastAsia="zh-CN"/>
        </w:rPr>
        <w:t>支配使用，市衔接资金结余</w:t>
      </w:r>
      <w:r>
        <w:rPr>
          <w:rFonts w:hint="eastAsia" w:ascii="仿宋_GB2312" w:hAnsi="仿宋_GB2312" w:eastAsia="仿宋_GB2312" w:cs="仿宋_GB2312"/>
          <w:b w:val="0"/>
          <w:bCs w:val="0"/>
          <w:sz w:val="32"/>
          <w:szCs w:val="32"/>
          <w:lang w:val="en-US" w:eastAsia="zh-CN"/>
        </w:rPr>
        <w:t>330.51万元。</w:t>
      </w:r>
    </w:p>
    <w:p w14:paraId="785A355B">
      <w:pPr>
        <w:spacing w:line="580" w:lineRule="exact"/>
        <w:ind w:firstLine="643" w:firstLineChars="200"/>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2、项目实施程序和管理办法</w:t>
      </w:r>
    </w:p>
    <w:p w14:paraId="406C18E4">
      <w:pPr>
        <w:spacing w:line="580" w:lineRule="exact"/>
        <w:ind w:firstLine="640" w:firstLineChars="200"/>
        <w:outlineLvl w:val="9"/>
        <w:rPr>
          <w:rFonts w:hint="default"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项目按照</w:t>
      </w:r>
      <w:r>
        <w:rPr>
          <w:rFonts w:hint="eastAsia" w:ascii="仿宋_GB2312" w:hAnsi="仿宋_GB2312" w:eastAsia="仿宋_GB2312" w:cs="仿宋_GB2312"/>
          <w:b w:val="0"/>
          <w:bCs w:val="0"/>
          <w:sz w:val="32"/>
          <w:szCs w:val="32"/>
        </w:rPr>
        <w:t>《江门市2021-2025年衔接推进乡村振兴专项资金管理办法》（江农农〔2022〕29号）</w:t>
      </w:r>
      <w:r>
        <w:rPr>
          <w:rFonts w:hint="eastAsia" w:ascii="仿宋_GB2312" w:hAnsi="仿宋_GB2312" w:eastAsia="仿宋_GB2312" w:cs="仿宋_GB2312"/>
          <w:b w:val="0"/>
          <w:bCs w:val="0"/>
          <w:sz w:val="32"/>
          <w:szCs w:val="32"/>
          <w:lang w:eastAsia="zh-CN"/>
        </w:rPr>
        <w:t>以及</w:t>
      </w:r>
      <w:r>
        <w:rPr>
          <w:rFonts w:hint="eastAsia" w:ascii="仿宋_GB2312" w:hAnsi="仿宋_GB2312" w:eastAsia="仿宋_GB2312" w:cs="仿宋_GB2312"/>
          <w:b w:val="0"/>
          <w:bCs w:val="0"/>
          <w:sz w:val="32"/>
          <w:szCs w:val="32"/>
          <w:lang w:val="en-US" w:eastAsia="zh-CN"/>
        </w:rPr>
        <w:t>2024年集中修订的</w:t>
      </w:r>
      <w:r>
        <w:rPr>
          <w:rFonts w:hint="eastAsia" w:ascii="仿宋_GB2312" w:hAnsi="仿宋_GB2312" w:eastAsia="仿宋_GB2312" w:cs="仿宋_GB2312"/>
          <w:b w:val="0"/>
          <w:bCs w:val="0"/>
          <w:sz w:val="32"/>
          <w:szCs w:val="32"/>
        </w:rPr>
        <w:t>《江门市衔接推进乡村振兴专项资金管理办法（修订）》</w:t>
      </w:r>
      <w:r>
        <w:rPr>
          <w:rFonts w:hint="eastAsia" w:ascii="仿宋_GB2312" w:hAnsi="仿宋_GB2312" w:eastAsia="仿宋_GB2312" w:cs="仿宋_GB2312"/>
          <w:b w:val="0"/>
          <w:bCs w:val="0"/>
          <w:sz w:val="32"/>
          <w:szCs w:val="32"/>
          <w:lang w:eastAsia="zh-CN"/>
        </w:rPr>
        <w:t>（江财农〔2024〕60号）明确的使用方向和实施程序执行，各县（市、区）委农村工作领导小组负责审核批准本级衔接资金筹集使用计划，并加强统筹各级衔接资金，形成合力。各县（市、区）或镇（街）党委政府应按计划组织实施项目。</w:t>
      </w:r>
    </w:p>
    <w:p w14:paraId="7E4DA782">
      <w:pPr>
        <w:spacing w:line="580" w:lineRule="exact"/>
        <w:ind w:firstLine="643"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lang w:val="en-US" w:eastAsia="zh-CN"/>
        </w:rPr>
        <w:t>3、</w:t>
      </w:r>
      <w:r>
        <w:rPr>
          <w:rFonts w:hint="eastAsia" w:ascii="仿宋_GB2312" w:hAnsi="仿宋_GB2312" w:eastAsia="仿宋_GB2312" w:cs="仿宋_GB2312"/>
          <w:b/>
          <w:bCs/>
          <w:kern w:val="2"/>
          <w:sz w:val="32"/>
          <w:szCs w:val="32"/>
        </w:rPr>
        <w:t>项目监管</w:t>
      </w:r>
    </w:p>
    <w:p w14:paraId="1F0AB1BE">
      <w:pPr>
        <w:snapToGrid/>
        <w:spacing w:line="58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强化县级管理主体责任。各县（市、区）乡村振兴、财政部门具体负责衔接资金使用和项目实施的日常监督和专项检查，各级农业农村部门会同级财政局不定期对项目实施和资金使用情况进行跟踪督查，发现问题及时整改，确保资金专款专用。</w:t>
      </w:r>
    </w:p>
    <w:p w14:paraId="5B43E9CB">
      <w:pPr>
        <w:snapToGrid/>
        <w:spacing w:line="580" w:lineRule="exact"/>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4、进度管控</w:t>
      </w:r>
    </w:p>
    <w:p w14:paraId="1C681D90">
      <w:pPr>
        <w:snapToGrid/>
        <w:spacing w:line="580" w:lineRule="exact"/>
        <w:ind w:firstLine="640" w:firstLineChars="200"/>
        <w:jc w:val="both"/>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截至2026年3月，实施项目已全面完成，各项资金已基本完成支出。</w:t>
      </w:r>
    </w:p>
    <w:p w14:paraId="04C236F1">
      <w:pPr>
        <w:spacing w:line="580" w:lineRule="exact"/>
        <w:ind w:firstLine="640" w:firstLineChars="200"/>
        <w:outlineLvl w:val="9"/>
        <w:rPr>
          <w:rFonts w:hint="eastAsia" w:ascii="国标黑体" w:hAnsi="国标黑体" w:eastAsia="国标黑体" w:cs="国标黑体"/>
          <w:b w:val="0"/>
          <w:bCs w:val="0"/>
          <w:color w:val="auto"/>
          <w:sz w:val="32"/>
          <w:szCs w:val="32"/>
          <w:lang w:bidi="ar"/>
        </w:rPr>
      </w:pPr>
      <w:r>
        <w:rPr>
          <w:rFonts w:hint="eastAsia" w:ascii="国标黑体" w:hAnsi="国标黑体" w:eastAsia="国标黑体" w:cs="国标黑体"/>
          <w:b w:val="0"/>
          <w:bCs w:val="0"/>
          <w:color w:val="auto"/>
          <w:sz w:val="32"/>
          <w:szCs w:val="32"/>
          <w:lang w:bidi="ar"/>
        </w:rPr>
        <w:t>三、项目绩效情况</w:t>
      </w:r>
    </w:p>
    <w:p w14:paraId="07CCE5DA">
      <w:pPr>
        <w:snapToGrid/>
        <w:spacing w:line="580" w:lineRule="exact"/>
        <w:ind w:firstLine="643" w:firstLineChars="200"/>
        <w:jc w:val="left"/>
        <w:rPr>
          <w:rFonts w:hint="eastAsia" w:ascii="国标楷体" w:hAnsi="国标楷体" w:eastAsia="国标楷体" w:cs="国标楷体"/>
          <w:b/>
          <w:bCs/>
          <w:color w:val="auto"/>
          <w:sz w:val="32"/>
          <w:szCs w:val="32"/>
          <w:lang w:bidi="ar"/>
        </w:rPr>
      </w:pPr>
      <w:r>
        <w:rPr>
          <w:rFonts w:hint="eastAsia" w:ascii="国标楷体" w:hAnsi="国标楷体" w:eastAsia="国标楷体" w:cs="国标楷体"/>
          <w:b/>
          <w:bCs/>
          <w:color w:val="auto"/>
          <w:sz w:val="32"/>
          <w:szCs w:val="32"/>
          <w:lang w:eastAsia="zh-CN" w:bidi="ar"/>
        </w:rPr>
        <w:t>（一）</w:t>
      </w:r>
      <w:r>
        <w:rPr>
          <w:rFonts w:hint="eastAsia" w:ascii="国标楷体" w:hAnsi="国标楷体" w:eastAsia="国标楷体" w:cs="国标楷体"/>
          <w:b/>
          <w:bCs/>
          <w:color w:val="auto"/>
          <w:sz w:val="32"/>
          <w:szCs w:val="32"/>
          <w:lang w:bidi="ar"/>
        </w:rPr>
        <w:t>产出指标分析</w:t>
      </w:r>
    </w:p>
    <w:p w14:paraId="3D3D0311">
      <w:pPr>
        <w:spacing w:line="580" w:lineRule="exact"/>
        <w:ind w:firstLine="640" w:firstLineChars="200"/>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color w:val="auto"/>
          <w:sz w:val="32"/>
          <w:szCs w:val="32"/>
          <w:lang w:val="en-US" w:eastAsia="zh-CN" w:bidi="ar"/>
        </w:rPr>
        <w:t>1、</w:t>
      </w:r>
      <w:r>
        <w:rPr>
          <w:rFonts w:hint="eastAsia" w:ascii="仿宋_GB2312" w:hAnsi="仿宋_GB2312" w:eastAsia="仿宋_GB2312" w:cs="仿宋_GB2312"/>
          <w:color w:val="auto"/>
          <w:sz w:val="32"/>
          <w:szCs w:val="32"/>
          <w:lang w:bidi="ar"/>
        </w:rPr>
        <w:t>帮扶全市监测对象数量</w:t>
      </w:r>
      <w:r>
        <w:rPr>
          <w:rFonts w:hint="eastAsia" w:ascii="仿宋_GB2312" w:hAnsi="仿宋_GB2312" w:eastAsia="仿宋_GB2312" w:cs="仿宋_GB2312"/>
          <w:color w:val="auto"/>
          <w:sz w:val="32"/>
          <w:szCs w:val="32"/>
          <w:lang w:eastAsia="zh-CN" w:bidi="ar"/>
        </w:rPr>
        <w:t>、防止返贫致贫保险市级补助</w:t>
      </w:r>
      <w:r>
        <w:rPr>
          <w:rFonts w:hint="eastAsia" w:ascii="仿宋_GB2312" w:hAnsi="仿宋_GB2312" w:eastAsia="仿宋_GB2312" w:cs="仿宋_GB2312"/>
          <w:b w:val="0"/>
          <w:bCs w:val="0"/>
          <w:color w:val="auto"/>
          <w:sz w:val="32"/>
          <w:szCs w:val="32"/>
          <w:lang w:eastAsia="zh-CN"/>
        </w:rPr>
        <w:t>每人</w:t>
      </w:r>
      <w:r>
        <w:rPr>
          <w:rFonts w:hint="eastAsia" w:ascii="仿宋_GB2312" w:hAnsi="仿宋_GB2312" w:eastAsia="仿宋_GB2312" w:cs="仿宋_GB2312"/>
          <w:b w:val="0"/>
          <w:bCs w:val="0"/>
          <w:color w:val="auto"/>
          <w:sz w:val="32"/>
          <w:szCs w:val="32"/>
          <w:lang w:val="en-US" w:eastAsia="zh-CN"/>
        </w:rPr>
        <w:t>100元市级补助，5年合计补助9382人次购买</w:t>
      </w:r>
      <w:r>
        <w:rPr>
          <w:rFonts w:hint="eastAsia" w:ascii="仿宋_GB2312" w:hAnsi="仿宋_GB2312" w:eastAsia="仿宋_GB2312" w:cs="仿宋_GB2312"/>
          <w:b w:val="0"/>
          <w:bCs w:val="0"/>
          <w:color w:val="auto"/>
          <w:sz w:val="32"/>
          <w:szCs w:val="32"/>
        </w:rPr>
        <w:t>防止返贫</w:t>
      </w:r>
      <w:r>
        <w:rPr>
          <w:rFonts w:hint="eastAsia" w:ascii="仿宋_GB2312" w:hAnsi="仿宋_GB2312" w:eastAsia="仿宋_GB2312" w:cs="仿宋_GB2312"/>
          <w:b w:val="0"/>
          <w:bCs w:val="0"/>
          <w:color w:val="auto"/>
          <w:sz w:val="32"/>
          <w:szCs w:val="32"/>
          <w:lang w:eastAsia="zh-CN"/>
        </w:rPr>
        <w:t>致贫</w:t>
      </w:r>
      <w:r>
        <w:rPr>
          <w:rFonts w:hint="eastAsia" w:ascii="仿宋_GB2312" w:hAnsi="仿宋_GB2312" w:eastAsia="仿宋_GB2312" w:cs="仿宋_GB2312"/>
          <w:b w:val="0"/>
          <w:bCs w:val="0"/>
          <w:color w:val="auto"/>
          <w:sz w:val="32"/>
          <w:szCs w:val="32"/>
        </w:rPr>
        <w:t>保险</w:t>
      </w:r>
      <w:r>
        <w:rPr>
          <w:rFonts w:hint="eastAsia" w:ascii="仿宋_GB2312" w:hAnsi="仿宋_GB2312" w:eastAsia="仿宋_GB2312" w:cs="仿宋_GB2312"/>
          <w:b w:val="0"/>
          <w:bCs w:val="0"/>
          <w:color w:val="auto"/>
          <w:sz w:val="32"/>
          <w:szCs w:val="32"/>
          <w:lang w:eastAsia="zh-CN"/>
        </w:rPr>
        <w:t>。</w:t>
      </w:r>
    </w:p>
    <w:p w14:paraId="70B0E04C">
      <w:pPr>
        <w:pStyle w:val="2"/>
        <w:ind w:firstLine="640" w:firstLineChars="2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2、支持重点帮扶镇数量30个。2023年“三结对”资金覆盖70个涉农镇街，2022-2023年补短板项目优先支持重点帮扶镇，2022-2023年重点帮扶镇产业项目受益重点帮扶镇22个。</w:t>
      </w:r>
    </w:p>
    <w:p w14:paraId="138E91DC">
      <w:pPr>
        <w:pStyle w:val="2"/>
        <w:ind w:firstLine="640" w:firstLineChars="2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3、支持广西崇左市协作县数量4个。我市</w:t>
      </w:r>
      <w:r>
        <w:rPr>
          <w:rFonts w:hint="eastAsia" w:ascii="仿宋_GB2312" w:hAnsi="仿宋_GB2312" w:eastAsia="仿宋_GB2312" w:cs="仿宋_GB2312"/>
          <w:color w:val="auto"/>
          <w:sz w:val="32"/>
          <w:szCs w:val="32"/>
        </w:rPr>
        <w:t>结对帮扶广西壮族自治区崇左市的天等县、大新县、宁明县、龙州县等4个县</w:t>
      </w:r>
      <w:r>
        <w:rPr>
          <w:rFonts w:hint="eastAsia" w:ascii="仿宋_GB2312" w:hAnsi="仿宋_GB2312" w:eastAsia="仿宋_GB2312" w:cs="仿宋_GB2312"/>
          <w:color w:val="auto"/>
          <w:sz w:val="32"/>
          <w:szCs w:val="32"/>
          <w:lang w:val="en-US" w:eastAsia="zh-CN"/>
        </w:rPr>
        <w:t>2021-2025年</w:t>
      </w:r>
      <w:r>
        <w:rPr>
          <w:rFonts w:hint="eastAsia" w:ascii="仿宋_GB2312" w:hAnsi="仿宋_GB2312" w:eastAsia="仿宋_GB2312" w:cs="仿宋_GB2312"/>
          <w:color w:val="auto"/>
          <w:sz w:val="32"/>
          <w:szCs w:val="32"/>
          <w:lang w:eastAsia="zh-CN"/>
        </w:rPr>
        <w:t>协作</w:t>
      </w:r>
      <w:r>
        <w:rPr>
          <w:rFonts w:hint="eastAsia" w:ascii="仿宋_GB2312" w:hAnsi="仿宋_GB2312" w:eastAsia="仿宋_GB2312" w:cs="仿宋_GB2312"/>
          <w:color w:val="auto"/>
          <w:sz w:val="32"/>
          <w:szCs w:val="32"/>
        </w:rPr>
        <w:t>资金全部</w:t>
      </w:r>
      <w:r>
        <w:rPr>
          <w:rFonts w:hint="eastAsia" w:ascii="仿宋_GB2312" w:hAnsi="仿宋_GB2312" w:eastAsia="仿宋_GB2312" w:cs="仿宋_GB2312"/>
          <w:color w:val="auto"/>
          <w:sz w:val="32"/>
          <w:szCs w:val="32"/>
          <w:lang w:eastAsia="zh-CN"/>
        </w:rPr>
        <w:t>足额</w:t>
      </w:r>
      <w:r>
        <w:rPr>
          <w:rFonts w:hint="eastAsia" w:ascii="仿宋_GB2312" w:hAnsi="仿宋_GB2312" w:eastAsia="仿宋_GB2312" w:cs="仿宋_GB2312"/>
          <w:color w:val="auto"/>
          <w:sz w:val="32"/>
          <w:szCs w:val="32"/>
        </w:rPr>
        <w:t>划拨到东西部协作广西壮族自治区财政厅，由</w:t>
      </w:r>
      <w:r>
        <w:rPr>
          <w:rFonts w:hint="eastAsia" w:ascii="仿宋_GB2312" w:hAnsi="仿宋_GB2312" w:eastAsia="仿宋_GB2312" w:cs="仿宋_GB2312"/>
          <w:color w:val="auto"/>
          <w:sz w:val="32"/>
          <w:szCs w:val="32"/>
          <w:lang w:eastAsia="zh-CN"/>
        </w:rPr>
        <w:t>自治</w:t>
      </w:r>
      <w:r>
        <w:rPr>
          <w:rFonts w:hint="eastAsia" w:ascii="仿宋_GB2312" w:hAnsi="仿宋_GB2312" w:eastAsia="仿宋_GB2312" w:cs="仿宋_GB2312"/>
          <w:color w:val="auto"/>
          <w:sz w:val="32"/>
          <w:szCs w:val="32"/>
        </w:rPr>
        <w:t>区财政厅统一拨付到新阶段对口帮扶崇左市结对县</w:t>
      </w:r>
      <w:r>
        <w:rPr>
          <w:rFonts w:hint="eastAsia" w:ascii="仿宋_GB2312" w:hAnsi="仿宋_GB2312" w:eastAsia="仿宋_GB2312" w:cs="仿宋_GB2312"/>
          <w:color w:val="auto"/>
          <w:sz w:val="32"/>
          <w:szCs w:val="32"/>
          <w:lang w:eastAsia="zh-CN"/>
        </w:rPr>
        <w:t>。协作</w:t>
      </w:r>
      <w:r>
        <w:rPr>
          <w:rFonts w:hint="eastAsia" w:ascii="仿宋_GB2312" w:hAnsi="仿宋_GB2312" w:eastAsia="仿宋_GB2312" w:cs="仿宋_GB2312"/>
          <w:color w:val="auto"/>
          <w:sz w:val="32"/>
          <w:szCs w:val="32"/>
        </w:rPr>
        <w:t>资金主要用于我市对口援助的崇左市结对帮扶县的项目建设，并优先支持国家乡村振兴重点帮扶县项目建设</w:t>
      </w:r>
      <w:r>
        <w:rPr>
          <w:rFonts w:hint="eastAsia" w:ascii="仿宋_GB2312" w:hAnsi="仿宋_GB2312" w:eastAsia="仿宋_GB2312" w:cs="仿宋_GB2312"/>
          <w:color w:val="auto"/>
          <w:sz w:val="32"/>
          <w:szCs w:val="32"/>
          <w:lang w:eastAsia="zh-CN"/>
        </w:rPr>
        <w:t>。</w:t>
      </w:r>
    </w:p>
    <w:p w14:paraId="27E6BDE2">
      <w:pPr>
        <w:spacing w:line="580" w:lineRule="exact"/>
        <w:ind w:firstLine="643" w:firstLineChars="200"/>
        <w:outlineLvl w:val="9"/>
        <w:rPr>
          <w:rFonts w:hint="eastAsia" w:ascii="国标楷体" w:hAnsi="国标楷体" w:eastAsia="国标楷体" w:cs="国标楷体"/>
          <w:b/>
          <w:bCs/>
          <w:color w:val="auto"/>
          <w:sz w:val="32"/>
          <w:szCs w:val="32"/>
          <w:lang w:bidi="ar"/>
        </w:rPr>
      </w:pPr>
      <w:r>
        <w:rPr>
          <w:rFonts w:hint="eastAsia" w:ascii="国标楷体" w:hAnsi="国标楷体" w:eastAsia="国标楷体" w:cs="国标楷体"/>
          <w:b/>
          <w:bCs/>
          <w:color w:val="auto"/>
          <w:sz w:val="32"/>
          <w:szCs w:val="32"/>
          <w:lang w:bidi="ar"/>
        </w:rPr>
        <w:t>（二）效果指标分析</w:t>
      </w:r>
    </w:p>
    <w:p w14:paraId="740F23B2">
      <w:pPr>
        <w:pStyle w:val="2"/>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巩固拓展脱贫攻坚成果</w:t>
      </w:r>
      <w:r>
        <w:rPr>
          <w:rFonts w:hint="eastAsia" w:ascii="仿宋_GB2312" w:hAnsi="仿宋_GB2312" w:eastAsia="仿宋_GB2312" w:cs="仿宋_GB2312"/>
          <w:color w:val="auto"/>
          <w:sz w:val="32"/>
          <w:szCs w:val="32"/>
          <w:lang w:eastAsia="zh-CN"/>
        </w:rPr>
        <w:t>，10</w:t>
      </w:r>
      <w:r>
        <w:rPr>
          <w:rFonts w:hint="eastAsia" w:ascii="仿宋_GB2312" w:hAnsi="仿宋_GB2312" w:eastAsia="仿宋_GB2312" w:cs="仿宋_GB2312"/>
          <w:sz w:val="32"/>
          <w:szCs w:val="32"/>
          <w:lang w:eastAsia="zh-CN"/>
        </w:rPr>
        <w:t>0%不发生规模性返贫。一是落实防止返贫致贫动态监测和分类帮扶。建立健全防止返贫致贫机制，聚焦“两不愁、三保障”，精准施策。开展低收入人口兜底保障，实现应纳尽纳，应保尽保。截至2025年底，全市防止返贫致贫监测对象动态调整为213户共706人，监测对象占比由2021年的11.5%下降到2025年的5.4%。为47.07万人次就业困难人员提供“一对一”就业帮扶。形成覆盖学前到大学的困难学生资助体系，全市义务教育入学率100%。资助全市困难群体100%参加城乡居民养老保险、城乡基本医疗保险、“邑康保”。全市脱贫人口100%实现住房安全和饮水安全保障。</w:t>
      </w:r>
    </w:p>
    <w:p w14:paraId="4FF157D8">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2、有效衔接推进乡村振兴。落实驻镇帮扶资金（市级衔接资金1.48亿，中央衔接资金7857万元），紧紧围绕五大重点任务，全力开展驻镇帮镇扶村工作，形成了一批可复制的工作经验与创新做法，并在驻镇帮扶项目中强化联农带农机制，推动巩固拓展脱贫攻坚成果衔接乡村振兴高质量发展，实现镇村同建同治同美取得新成效。</w:t>
      </w:r>
      <w:r>
        <w:rPr>
          <w:rFonts w:hint="eastAsia" w:ascii="仿宋_GB2312" w:hAnsi="仿宋_GB2312" w:eastAsia="仿宋_GB2312" w:cs="仿宋_GB2312"/>
          <w:color w:val="auto"/>
          <w:sz w:val="32"/>
          <w:szCs w:val="32"/>
          <w:lang w:val="en-US" w:eastAsia="zh-CN"/>
        </w:rPr>
        <w:t>开</w:t>
      </w:r>
      <w:r>
        <w:rPr>
          <w:rFonts w:hint="eastAsia" w:ascii="仿宋_GB2312" w:hAnsi="仿宋_GB2312" w:eastAsia="仿宋_GB2312" w:cs="仿宋_GB2312"/>
          <w:kern w:val="2"/>
          <w:sz w:val="32"/>
          <w:szCs w:val="32"/>
          <w:lang w:val="en-US" w:eastAsia="zh-CN" w:bidi="ar-SA"/>
        </w:rPr>
        <w:t>展一系列的村级集体经济发展项目，积极推广新型农村集体经济发展“五大类型”12种模式，引导村集体在结合自身特点，学习汲取先进经验，推动村集体经济和村民</w:t>
      </w:r>
      <w:bookmarkStart w:id="0" w:name="OLE_LINK12"/>
      <w:r>
        <w:rPr>
          <w:rFonts w:hint="eastAsia" w:ascii="仿宋_GB2312" w:hAnsi="仿宋_GB2312" w:eastAsia="仿宋_GB2312" w:cs="仿宋_GB2312"/>
          <w:kern w:val="2"/>
          <w:sz w:val="32"/>
          <w:szCs w:val="32"/>
          <w:lang w:val="en-US" w:eastAsia="zh-CN" w:bidi="ar-SA"/>
        </w:rPr>
        <w:t>“双增收”</w:t>
      </w:r>
      <w:bookmarkEnd w:id="0"/>
      <w:r>
        <w:rPr>
          <w:rFonts w:hint="eastAsia" w:ascii="仿宋_GB2312" w:hAnsi="仿宋_GB2312" w:eastAsia="仿宋_GB2312" w:cs="仿宋_GB2312"/>
          <w:kern w:val="2"/>
          <w:sz w:val="32"/>
          <w:szCs w:val="32"/>
          <w:lang w:val="en-US" w:eastAsia="zh-CN" w:bidi="ar-SA"/>
        </w:rPr>
        <w:t>。</w:t>
      </w:r>
    </w:p>
    <w:p w14:paraId="68DF49CB">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kern w:val="2"/>
          <w:sz w:val="32"/>
          <w:szCs w:val="32"/>
          <w:lang w:val="en-US" w:eastAsia="zh-CN" w:bidi="ar-SA"/>
        </w:rPr>
        <w:t>继续深化东西部协作工作，完成协议任务。已全面完成省下达的对口协作崇左2021-2025年度东西部协作协议指标。2021年以来市级衔接资金划拨到广西财政援助资金2.63亿元。在东西部协作成效考核评价中，江门—崇左协作工作助力广东、广西连续4年取得“好”的等次。</w:t>
      </w:r>
    </w:p>
    <w:p w14:paraId="463C8135">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4、扶持本市革命老区建设和农户发展生产。</w:t>
      </w:r>
      <w:r>
        <w:rPr>
          <w:rFonts w:hint="eastAsia" w:ascii="仿宋_GB2312" w:hAnsi="仿宋_GB2312" w:eastAsia="仿宋_GB2312" w:cs="仿宋_GB2312"/>
          <w:b w:val="0"/>
          <w:bCs w:val="0"/>
          <w:sz w:val="32"/>
          <w:szCs w:val="32"/>
          <w:lang w:eastAsia="zh-CN"/>
        </w:rPr>
        <w:t>依据</w:t>
      </w:r>
      <w:r>
        <w:rPr>
          <w:rFonts w:hint="eastAsia" w:ascii="仿宋_GB2312" w:hAnsi="仿宋_GB2312" w:eastAsia="仿宋_GB2312" w:cs="仿宋_GB2312"/>
          <w:sz w:val="32"/>
          <w:szCs w:val="32"/>
          <w:lang w:val="en-US" w:eastAsia="zh-CN"/>
        </w:rPr>
        <w:t>《江门市推动革命老区振兴发展实施意见》设立，每年</w:t>
      </w:r>
      <w:r>
        <w:rPr>
          <w:rFonts w:hint="eastAsia" w:ascii="仿宋_GB2312" w:hAnsi="仿宋_GB2312" w:eastAsia="仿宋_GB2312" w:cs="仿宋_GB2312"/>
          <w:b w:val="0"/>
          <w:bCs w:val="0"/>
          <w:sz w:val="32"/>
          <w:szCs w:val="32"/>
          <w:lang w:eastAsia="zh-CN"/>
        </w:rPr>
        <w:t>安排扶持本市革命老区发展和农户发展生产专项资金500万元，主要用于推动革命老区振兴发展各项工作措施落地,含扶持老区、农户发展生产，扶持老区道路、饮水等基础设施建设，扶持红色教育基地建设等。</w:t>
      </w:r>
      <w:r>
        <w:rPr>
          <w:rFonts w:hint="eastAsia" w:ascii="仿宋_GB2312" w:hAnsi="仿宋_GB2312" w:eastAsia="仿宋_GB2312" w:cs="仿宋_GB2312"/>
          <w:b w:val="0"/>
          <w:bCs w:val="0"/>
          <w:sz w:val="32"/>
          <w:szCs w:val="32"/>
          <w:lang w:val="en-US" w:eastAsia="zh-CN"/>
        </w:rPr>
        <w:t>2021-2024年共实施老区项目215个，安排市级补助资金1800万元。</w:t>
      </w:r>
    </w:p>
    <w:p w14:paraId="74302E7D">
      <w:pPr>
        <w:spacing w:line="580" w:lineRule="exact"/>
        <w:ind w:firstLine="640" w:firstLineChars="200"/>
        <w:outlineLvl w:val="9"/>
        <w:rPr>
          <w:rFonts w:hint="eastAsia" w:ascii="国标黑体" w:hAnsi="国标黑体" w:eastAsia="国标黑体" w:cs="国标黑体"/>
          <w:b w:val="0"/>
          <w:color w:val="auto"/>
          <w:sz w:val="32"/>
          <w:szCs w:val="32"/>
          <w:lang w:bidi="ar"/>
        </w:rPr>
      </w:pPr>
      <w:r>
        <w:rPr>
          <w:rFonts w:hint="eastAsia" w:ascii="国标黑体" w:hAnsi="国标黑体" w:eastAsia="国标黑体" w:cs="国标黑体"/>
          <w:b w:val="0"/>
          <w:color w:val="auto"/>
          <w:sz w:val="32"/>
          <w:szCs w:val="32"/>
          <w:lang w:bidi="ar"/>
        </w:rPr>
        <w:t>四、项目主要做法和经验</w:t>
      </w:r>
    </w:p>
    <w:p w14:paraId="5C33E248">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bookmarkStart w:id="1" w:name="OLE_LINK5"/>
      <w:r>
        <w:rPr>
          <w:rFonts w:hint="eastAsia" w:ascii="仿宋_GB2312" w:hAnsi="仿宋_GB2312" w:eastAsia="仿宋_GB2312" w:cs="仿宋_GB2312"/>
          <w:sz w:val="32"/>
          <w:szCs w:val="32"/>
          <w:lang w:val="en-US" w:eastAsia="zh-CN"/>
        </w:rPr>
        <w:t>一是聚焦“双增收”，探索集体经济发展新路径。结合我市乡村实际，创新发展思维，成立强镇富民公司，汇聚多方力量（市级衔接资金5280万元、中央衔接资金3992万元），上马一系列的村级集体经济发展项目，积极推广新型农村集体经济发展“五大类型”12种模式，引导村集体在结合自身特点，学习汲取先进经验，推动村集体经济和村民“双增收”。</w:t>
      </w:r>
      <w:bookmarkStart w:id="2" w:name="OLE_LINK15"/>
      <w:r>
        <w:rPr>
          <w:rFonts w:hint="eastAsia" w:ascii="仿宋_GB2312" w:hAnsi="仿宋_GB2312" w:eastAsia="仿宋_GB2312" w:cs="仿宋_GB2312"/>
          <w:sz w:val="32"/>
          <w:szCs w:val="32"/>
          <w:lang w:val="en-US" w:eastAsia="zh-CN"/>
        </w:rPr>
        <w:t>如蓬江区上巷村“运营赋能+产业融合”，以“杜阮凉瓜”构建产业驱动运营体系，实现从经济薄弱村到乡村振兴样板村的精彩蝶变。茶坑村把“新会陈皮”作为立村兴村的核心，产业推动形成全链条产业生态的“黄金产业”等。</w:t>
      </w:r>
      <w:bookmarkEnd w:id="1"/>
      <w:bookmarkEnd w:id="2"/>
      <w:r>
        <w:rPr>
          <w:rFonts w:hint="eastAsia" w:ascii="仿宋_GB2312" w:hAnsi="仿宋_GB2312" w:eastAsia="仿宋_GB2312" w:cs="仿宋_GB2312"/>
          <w:color w:val="auto"/>
          <w:sz w:val="32"/>
          <w:szCs w:val="32"/>
          <w:lang w:val="en-US" w:eastAsia="zh-CN"/>
        </w:rPr>
        <w:t>二是聚焦“建管用”，确保帮扶项目资产持续增效。将经营性资产的“建好、管好、用好”作为核心抓手，着力构建覆盖“立项-建设-运营-收益”的全流程闭环监管体系。通过明确产权归属、规范运营管护、强化风险防控，确保资产长期稳定发挥效益。</w:t>
      </w:r>
    </w:p>
    <w:p w14:paraId="093E3F47">
      <w:pPr>
        <w:spacing w:line="580" w:lineRule="exact"/>
        <w:ind w:firstLine="640" w:firstLineChars="200"/>
        <w:outlineLvl w:val="9"/>
        <w:rPr>
          <w:rFonts w:hint="eastAsia" w:ascii="国标楷体" w:hAnsi="国标楷体" w:eastAsia="国标楷体" w:cs="国标楷体"/>
          <w:b/>
          <w:bCs/>
          <w:sz w:val="32"/>
          <w:szCs w:val="32"/>
          <w:lang w:bidi="ar"/>
        </w:rPr>
      </w:pPr>
      <w:r>
        <w:rPr>
          <w:rFonts w:hint="eastAsia" w:ascii="国标黑体" w:hAnsi="国标黑体" w:eastAsia="国标黑体" w:cs="国标黑体"/>
          <w:b w:val="0"/>
          <w:sz w:val="32"/>
          <w:szCs w:val="32"/>
          <w:lang w:bidi="ar"/>
        </w:rPr>
        <w:t>五、</w:t>
      </w:r>
      <w:r>
        <w:rPr>
          <w:rFonts w:hint="eastAsia" w:ascii="国标黑体" w:hAnsi="国标黑体" w:eastAsia="国标黑体" w:cs="国标黑体"/>
          <w:b w:val="0"/>
          <w:sz w:val="32"/>
          <w:szCs w:val="32"/>
          <w:lang w:eastAsia="zh-CN" w:bidi="ar"/>
        </w:rPr>
        <w:t>下一步工作</w:t>
      </w:r>
      <w:r>
        <w:rPr>
          <w:rFonts w:hint="eastAsia" w:ascii="国标黑体" w:hAnsi="国标黑体" w:eastAsia="国标黑体" w:cs="国标黑体"/>
          <w:b w:val="0"/>
          <w:sz w:val="32"/>
          <w:szCs w:val="32"/>
          <w:lang w:bidi="ar"/>
        </w:rPr>
        <w:t>建议</w:t>
      </w:r>
    </w:p>
    <w:p w14:paraId="2C3CF6CC">
      <w:pPr>
        <w:snapToGrid/>
        <w:spacing w:line="5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2025年11月，我局</w:t>
      </w:r>
      <w:r>
        <w:rPr>
          <w:rFonts w:hint="eastAsia" w:ascii="仿宋_GB2312" w:hAnsi="仿宋_GB2312" w:eastAsia="仿宋_GB2312" w:cs="仿宋_GB2312"/>
          <w:sz w:val="32"/>
          <w:szCs w:val="32"/>
          <w:lang w:eastAsia="zh-CN"/>
        </w:rPr>
        <w:t>书面</w:t>
      </w:r>
      <w:r>
        <w:rPr>
          <w:rFonts w:hint="eastAsia" w:ascii="仿宋_GB2312" w:hAnsi="仿宋_GB2312" w:eastAsia="仿宋_GB2312" w:cs="仿宋_GB2312"/>
          <w:sz w:val="32"/>
          <w:szCs w:val="32"/>
        </w:rPr>
        <w:t>请示省农业农村厅，申请在新阶段纳入省常态化帮扶体系，省农业农村厅已初步同意</w:t>
      </w:r>
      <w:r>
        <w:rPr>
          <w:rFonts w:hint="eastAsia" w:ascii="仿宋_GB2312" w:hAnsi="仿宋_GB2312" w:eastAsia="仿宋_GB2312" w:cs="仿宋_GB2312"/>
          <w:sz w:val="32"/>
          <w:szCs w:val="32"/>
          <w:lang w:eastAsia="zh-CN"/>
        </w:rPr>
        <w:t>并在</w:t>
      </w:r>
      <w:r>
        <w:rPr>
          <w:rFonts w:hint="eastAsia" w:ascii="仿宋_GB2312" w:hAnsi="仿宋_GB2312" w:eastAsia="仿宋_GB2312" w:cs="仿宋_GB2312"/>
          <w:sz w:val="32"/>
          <w:szCs w:val="32"/>
        </w:rPr>
        <w:t>常态化帮扶</w:t>
      </w:r>
      <w:bookmarkStart w:id="3" w:name="_GoBack"/>
      <w:bookmarkEnd w:id="3"/>
      <w:r>
        <w:rPr>
          <w:rFonts w:hint="eastAsia" w:ascii="仿宋_GB2312" w:hAnsi="仿宋_GB2312" w:eastAsia="仿宋_GB2312" w:cs="仿宋_GB2312"/>
          <w:sz w:val="32"/>
          <w:szCs w:val="32"/>
          <w:lang w:eastAsia="zh-CN"/>
        </w:rPr>
        <w:t>机制征求意见稿中将江门列入省常态化帮扶体系</w:t>
      </w:r>
      <w:r>
        <w:rPr>
          <w:rFonts w:hint="eastAsia" w:ascii="仿宋_GB2312" w:hAnsi="仿宋_GB2312" w:eastAsia="仿宋_GB2312" w:cs="仿宋_GB2312"/>
          <w:sz w:val="32"/>
          <w:szCs w:val="32"/>
        </w:rPr>
        <w:t>，获得省</w:t>
      </w:r>
      <w:r>
        <w:rPr>
          <w:rFonts w:hint="eastAsia" w:ascii="仿宋_GB2312" w:hAnsi="仿宋_GB2312" w:eastAsia="仿宋_GB2312" w:cs="仿宋_GB2312"/>
          <w:sz w:val="32"/>
          <w:szCs w:val="32"/>
          <w:lang w:eastAsia="zh-CN"/>
        </w:rPr>
        <w:t>常态化帮扶</w:t>
      </w:r>
      <w:r>
        <w:rPr>
          <w:rFonts w:hint="eastAsia" w:ascii="仿宋_GB2312" w:hAnsi="仿宋_GB2312" w:eastAsia="仿宋_GB2312" w:cs="仿宋_GB2312"/>
          <w:sz w:val="32"/>
          <w:szCs w:val="32"/>
        </w:rPr>
        <w:t>资金支持。</w:t>
      </w:r>
    </w:p>
    <w:p w14:paraId="41EFA967">
      <w:pPr>
        <w:snapToGrid/>
        <w:spacing w:line="58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东西部协作方面，根据《粤桂东西部协作资金管理办法》</w:t>
      </w:r>
    </w:p>
    <w:p w14:paraId="0AD71057">
      <w:pPr>
        <w:snapToGrid/>
        <w:spacing w:line="580" w:lineRule="exact"/>
        <w:ind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（桂农厅规〔2025〕1号）以及《2026年度广东省东西部协作工作要点（征求意见稿）》（粤农农函〔2026〕130号）要求“保持财政援助资金投入总体稳定”。</w:t>
      </w:r>
    </w:p>
    <w:p w14:paraId="7483A0E3">
      <w:pPr>
        <w:snapToGrid/>
        <w:spacing w:line="58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按照新阶段帮扶力量保持总体稳定的政策趋势，建议2027年暂按不低于2026年预算安排资金，兼顾新阶段结对帮扶资金需求、省帮扶项目配套资金需求。</w:t>
      </w:r>
    </w:p>
    <w:p w14:paraId="2842D1B8">
      <w:pPr>
        <w:spacing w:line="580" w:lineRule="exact"/>
        <w:ind w:firstLine="640" w:firstLineChars="200"/>
        <w:outlineLvl w:val="9"/>
        <w:rPr>
          <w:rFonts w:hint="eastAsia" w:ascii="仿宋_GB2312" w:hAnsi="仿宋_GB2312" w:eastAsia="仿宋_GB2312" w:cs="仿宋_GB2312"/>
          <w:sz w:val="32"/>
          <w:szCs w:val="32"/>
        </w:rPr>
      </w:pPr>
      <w:r>
        <w:rPr>
          <w:rFonts w:hint="eastAsia" w:ascii="国标黑体" w:hAnsi="国标黑体" w:eastAsia="国标黑体" w:cs="国标黑体"/>
          <w:b w:val="0"/>
          <w:bCs w:val="0"/>
          <w:sz w:val="32"/>
          <w:szCs w:val="32"/>
          <w:lang w:bidi="ar"/>
        </w:rPr>
        <w:t>六、项目自评结论及得分</w:t>
      </w:r>
    </w:p>
    <w:p w14:paraId="2253E268">
      <w:pPr>
        <w:spacing w:line="580" w:lineRule="exact"/>
        <w:ind w:firstLine="640" w:firstLineChars="200"/>
        <w:outlineLvl w:val="9"/>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sz w:val="32"/>
          <w:szCs w:val="32"/>
          <w:lang w:eastAsia="zh-CN"/>
        </w:rPr>
        <w:t>市级衔接推进乡村振兴资金的设立，能有效</w:t>
      </w:r>
      <w:r>
        <w:rPr>
          <w:rFonts w:hint="eastAsia" w:ascii="仿宋_GB2312" w:hAnsi="仿宋_GB2312" w:eastAsia="仿宋_GB2312" w:cs="仿宋_GB2312"/>
          <w:b w:val="0"/>
          <w:bCs w:val="0"/>
          <w:sz w:val="32"/>
          <w:szCs w:val="32"/>
        </w:rPr>
        <w:t>加快推进巩固拓展脱贫攻坚成果同乡村全面振兴有效衔接，进一步巩固脱贫攻坚成果，防止发生规模性返贫，</w:t>
      </w:r>
      <w:r>
        <w:rPr>
          <w:rFonts w:hint="eastAsia" w:ascii="仿宋_GB2312" w:hAnsi="仿宋_GB2312" w:eastAsia="仿宋_GB2312" w:cs="仿宋_GB2312"/>
          <w:b w:val="0"/>
          <w:bCs w:val="0"/>
          <w:sz w:val="32"/>
          <w:szCs w:val="32"/>
          <w:lang w:eastAsia="zh-CN"/>
        </w:rPr>
        <w:t>发展新型村集体经济，</w:t>
      </w:r>
      <w:r>
        <w:rPr>
          <w:rFonts w:hint="eastAsia" w:ascii="仿宋_GB2312" w:hAnsi="仿宋_GB2312" w:eastAsia="仿宋_GB2312" w:cs="仿宋_GB2312"/>
          <w:b w:val="0"/>
          <w:bCs w:val="0"/>
          <w:sz w:val="32"/>
          <w:szCs w:val="32"/>
        </w:rPr>
        <w:t>扶持乡村振兴重点帮扶镇特色产业发展</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提升乡村振兴驻镇帮镇扶村基础设施建设及镇域公共服务</w:t>
      </w:r>
      <w:r>
        <w:rPr>
          <w:rFonts w:hint="eastAsia" w:ascii="仿宋_GB2312" w:hAnsi="仿宋_GB2312" w:eastAsia="仿宋_GB2312" w:cs="仿宋_GB2312"/>
          <w:b w:val="0"/>
          <w:bCs w:val="0"/>
          <w:sz w:val="32"/>
          <w:szCs w:val="32"/>
          <w:lang w:eastAsia="zh-CN"/>
        </w:rPr>
        <w:t>，助力老区振兴发展。在脱贫攻坚胜利后的过渡期内发挥了重要的支持作用。</w:t>
      </w:r>
    </w:p>
    <w:p w14:paraId="78564685">
      <w:pPr>
        <w:spacing w:line="580" w:lineRule="exact"/>
        <w:ind w:firstLine="640" w:firstLineChars="200"/>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kern w:val="2"/>
          <w:sz w:val="32"/>
          <w:szCs w:val="32"/>
          <w:lang w:val="en-US" w:eastAsia="zh-CN" w:bidi="ar-SA"/>
        </w:rPr>
        <w:t>自评99分。</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国标黑体">
    <w:altName w:val="黑体"/>
    <w:panose1 w:val="02000500000000000000"/>
    <w:charset w:val="86"/>
    <w:family w:val="auto"/>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国标楷体">
    <w:altName w:val="楷体_GB2312"/>
    <w:panose1 w:val="02000500000000000000"/>
    <w:charset w:val="86"/>
    <w:family w:val="auto"/>
    <w:pitch w:val="default"/>
    <w:sig w:usb0="00000000" w:usb1="00000000" w:usb2="00000000"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8387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D680977">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5D680977">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DF3D4">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B62E9"/>
    <w:multiLevelType w:val="singleLevel"/>
    <w:tmpl w:val="F9EB62E9"/>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C85"/>
    <w:rsid w:val="00036540"/>
    <w:rsid w:val="0016372C"/>
    <w:rsid w:val="001F6FDF"/>
    <w:rsid w:val="00263A5D"/>
    <w:rsid w:val="00387963"/>
    <w:rsid w:val="004C51C6"/>
    <w:rsid w:val="0050024C"/>
    <w:rsid w:val="00507990"/>
    <w:rsid w:val="008324F9"/>
    <w:rsid w:val="00875F85"/>
    <w:rsid w:val="00A04D5C"/>
    <w:rsid w:val="00D247CF"/>
    <w:rsid w:val="00DB0C85"/>
    <w:rsid w:val="00DF09EA"/>
    <w:rsid w:val="00E54D36"/>
    <w:rsid w:val="00F132F1"/>
    <w:rsid w:val="00F61ADD"/>
    <w:rsid w:val="0B256D17"/>
    <w:rsid w:val="475FFDF6"/>
    <w:rsid w:val="5933559B"/>
    <w:rsid w:val="7DBFF738"/>
    <w:rsid w:val="84F6AA45"/>
    <w:rsid w:val="9AEDCD91"/>
    <w:rsid w:val="BDFCAE38"/>
    <w:rsid w:val="CDFA8D27"/>
    <w:rsid w:val="E1FF90A5"/>
    <w:rsid w:val="E8EBCBC6"/>
    <w:rsid w:val="F2BBD1E4"/>
    <w:rsid w:val="F7F727C1"/>
    <w:rsid w:val="F9FBE439"/>
    <w:rsid w:val="FCFCD281"/>
    <w:rsid w:val="FEFEA9A6"/>
    <w:rsid w:val="FEFF8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Arial Unicode MS" w:hAnsi="Arial Unicode MS" w:eastAsia="Arial Unicode MS" w:cs="Arial Unicode MS"/>
      <w:sz w:val="72"/>
      <w:szCs w:val="72"/>
    </w:r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rFonts w:ascii="Times New Roman" w:hAnsi="Times New Roman" w:eastAsia="宋体" w:cs="Times New Roman"/>
      <w:sz w:val="18"/>
      <w:szCs w:val="18"/>
    </w:rPr>
  </w:style>
  <w:style w:type="character" w:customStyle="1" w:styleId="9">
    <w:name w:val="页脚 Char"/>
    <w:basedOn w:val="7"/>
    <w:link w:val="4"/>
    <w:qFormat/>
    <w:uiPriority w:val="99"/>
    <w:rPr>
      <w:rFonts w:ascii="Times New Roman" w:hAnsi="Times New Roman" w:eastAsia="宋体" w:cs="Times New Roman"/>
      <w:sz w:val="18"/>
      <w:szCs w:val="18"/>
    </w:rPr>
  </w:style>
  <w:style w:type="character" w:customStyle="1" w:styleId="10">
    <w:name w:val="批注框文本 Char"/>
    <w:basedOn w:val="7"/>
    <w:link w:val="3"/>
    <w:semiHidden/>
    <w:qFormat/>
    <w:uiPriority w:val="99"/>
    <w:rPr>
      <w:rFonts w:ascii="Times New Roman" w:hAnsi="Times New Roman" w:eastAsia="宋体" w:cs="Times New Roman"/>
      <w:sz w:val="18"/>
      <w:szCs w:val="18"/>
    </w:rPr>
  </w:style>
  <w:style w:type="paragraph" w:customStyle="1" w:styleId="11">
    <w:name w:val="办公自动化专用正文"/>
    <w:basedOn w:val="1"/>
    <w:qFormat/>
    <w:uiPriority w:val="99"/>
    <w:pPr>
      <w:spacing w:line="500" w:lineRule="atLeast"/>
      <w:ind w:firstLine="624"/>
    </w:pPr>
    <w:rPr>
      <w:rFonts w:eastAsia="楷体_GB2312"/>
      <w:sz w:val="32"/>
      <w:szCs w:val="20"/>
    </w:rPr>
  </w:style>
  <w:style w:type="paragraph" w:customStyle="1" w:styleId="12">
    <w:name w:val="正文1"/>
    <w:qFormat/>
    <w:uiPriority w:val="99"/>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79</Words>
  <Characters>94</Characters>
  <Lines>4</Lines>
  <Paragraphs>1</Paragraphs>
  <TotalTime>34</TotalTime>
  <ScaleCrop>false</ScaleCrop>
  <LinksUpToDate>false</LinksUpToDate>
  <CharactersWithSpaces>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2022-04-12T06:59:00Z</dcterms:created>
  <dc:creator>李晓蕾</dc:creator>
  <cp:lastModifiedBy>Admin</cp:lastModifiedBy>
  <dcterms:modified xsi:type="dcterms:W3CDTF">2026-10-30T05:07:05Z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C3EC2A407C1CE8B23A09D66929AFD42E</vt:lpwstr>
  </property>
  <property fmtid="{D5CDD505-2E9C-101B-9397-08002B2CF9AE}" pid="4" name="KSOTemplateDocerSaveRecord">
    <vt:lpwstr>eyJoZGlkIjoiZTcyNGI3MWNkZWU4MTUxYmQ2YTEzNWQ1NzNjNjQyNGEiLCJ1c2VySWQiOiIxMjc4ODY0ODkyIn0=</vt:lpwstr>
  </property>
</Properties>
</file>