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right="632"/>
        <w:rPr>
          <w:rFonts w:hint="eastAsia" w:ascii="方正黑体_GBK" w:hAnsi="华文中宋" w:eastAsia="方正黑体_GBK"/>
          <w:sz w:val="30"/>
          <w:szCs w:val="30"/>
        </w:rPr>
      </w:pPr>
      <w:r>
        <w:rPr>
          <w:rFonts w:hint="eastAsia" w:ascii="方正黑体_GBK" w:hAnsi="华文中宋" w:eastAsia="方正黑体_GBK"/>
          <w:sz w:val="30"/>
          <w:szCs w:val="30"/>
        </w:rPr>
        <w:t xml:space="preserve">附件    </w:t>
      </w:r>
    </w:p>
    <w:p>
      <w:pPr>
        <w:spacing w:line="560" w:lineRule="exact"/>
        <w:jc w:val="center"/>
        <w:rPr>
          <w:rFonts w:hint="eastAsia" w:ascii="方正大标宋_GBK" w:hAnsi="方正大标宋_GBK" w:eastAsia="方正大标宋_GBK"/>
          <w:sz w:val="36"/>
          <w:szCs w:val="36"/>
        </w:rPr>
      </w:pPr>
      <w:r>
        <w:rPr>
          <w:rFonts w:hint="eastAsia" w:ascii="方正大标宋_GBK" w:hAnsi="方正大标宋_GBK" w:eastAsia="方正大标宋_GBK"/>
          <w:sz w:val="36"/>
          <w:szCs w:val="36"/>
        </w:rPr>
        <w:t>江门市区低收入家庭优惠措施一览表</w:t>
      </w:r>
    </w:p>
    <w:p>
      <w:pPr>
        <w:spacing w:line="300" w:lineRule="exact"/>
        <w:jc w:val="center"/>
        <w:rPr>
          <w:rFonts w:hint="eastAsia" w:ascii="方正大标宋_GBK" w:hAnsi="方正大标宋_GBK" w:eastAsia="方正大标宋_GBK"/>
          <w:sz w:val="36"/>
          <w:szCs w:val="36"/>
        </w:rPr>
      </w:pPr>
    </w:p>
    <w:tbl>
      <w:tblPr>
        <w:tblStyle w:val="3"/>
        <w:tblW w:w="9371" w:type="dxa"/>
        <w:tblInd w:w="93" w:type="dxa"/>
        <w:tblLayout w:type="fixed"/>
        <w:tblCellMar>
          <w:top w:w="0" w:type="dxa"/>
          <w:left w:w="108" w:type="dxa"/>
          <w:bottom w:w="0" w:type="dxa"/>
          <w:right w:w="108" w:type="dxa"/>
        </w:tblCellMar>
      </w:tblPr>
      <w:tblGrid>
        <w:gridCol w:w="820"/>
        <w:gridCol w:w="1605"/>
        <w:gridCol w:w="2268"/>
        <w:gridCol w:w="3780"/>
        <w:gridCol w:w="898"/>
      </w:tblGrid>
      <w:tr>
        <w:tblPrEx>
          <w:tblLayout w:type="fixed"/>
          <w:tblCellMar>
            <w:top w:w="0" w:type="dxa"/>
            <w:left w:w="108" w:type="dxa"/>
            <w:bottom w:w="0" w:type="dxa"/>
            <w:right w:w="108" w:type="dxa"/>
          </w:tblCellMar>
        </w:tblPrEx>
        <w:trPr>
          <w:trHeight w:val="716"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序号</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优惠项目</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申请人申办优惠时须持证件材料</w:t>
            </w:r>
          </w:p>
        </w:tc>
        <w:tc>
          <w:tcPr>
            <w:tcW w:w="37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申办或兑现优惠措施办法</w:t>
            </w:r>
          </w:p>
        </w:tc>
        <w:tc>
          <w:tcPr>
            <w:tcW w:w="89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center"/>
              <w:rPr>
                <w:rFonts w:hint="eastAsia" w:ascii="方正黑体_GBK" w:hAnsi="宋体" w:eastAsia="方正黑体_GBK" w:cs="宋体"/>
                <w:bCs/>
                <w:kern w:val="0"/>
                <w:sz w:val="24"/>
              </w:rPr>
            </w:pPr>
            <w:r>
              <w:rPr>
                <w:rFonts w:hint="eastAsia" w:ascii="方正黑体_GBK" w:hAnsi="宋体" w:eastAsia="方正黑体_GBK" w:cs="宋体"/>
                <w:bCs/>
                <w:kern w:val="0"/>
                <w:sz w:val="24"/>
              </w:rPr>
              <w:t>备注</w:t>
            </w:r>
          </w:p>
        </w:tc>
      </w:tr>
      <w:tr>
        <w:tblPrEx>
          <w:tblLayout w:type="fixed"/>
          <w:tblCellMar>
            <w:top w:w="0" w:type="dxa"/>
            <w:left w:w="108" w:type="dxa"/>
            <w:bottom w:w="0" w:type="dxa"/>
            <w:right w:w="108" w:type="dxa"/>
          </w:tblCellMar>
        </w:tblPrEx>
        <w:trPr>
          <w:trHeight w:val="672"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1</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spacing w:val="-12"/>
                <w:kern w:val="0"/>
                <w:sz w:val="24"/>
              </w:rPr>
            </w:pPr>
            <w:r>
              <w:rPr>
                <w:rFonts w:hint="eastAsia" w:ascii="方正仿宋_GBK" w:hAnsi="宋体" w:eastAsia="方正仿宋_GBK" w:cs="宋体"/>
                <w:color w:val="000000"/>
                <w:spacing w:val="-12"/>
                <w:kern w:val="0"/>
                <w:sz w:val="24"/>
              </w:rPr>
              <w:t>教育收费优惠</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申请人向所在学校提出申请，经学校初审后报同级主管部门审批。</w:t>
            </w:r>
          </w:p>
        </w:tc>
        <w:tc>
          <w:tcPr>
            <w:tcW w:w="898" w:type="dxa"/>
            <w:vMerge w:val="restart"/>
            <w:tcBorders>
              <w:top w:val="nil"/>
              <w:left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有关部门、单位应以适当方式向社会公布由本单位负责施行的优惠项目及实施兑现办法。</w:t>
            </w:r>
          </w:p>
        </w:tc>
      </w:tr>
      <w:tr>
        <w:tblPrEx>
          <w:tblLayout w:type="fixed"/>
          <w:tblCellMar>
            <w:top w:w="0" w:type="dxa"/>
            <w:left w:w="108" w:type="dxa"/>
            <w:bottom w:w="0" w:type="dxa"/>
            <w:right w:w="108" w:type="dxa"/>
          </w:tblCellMar>
        </w:tblPrEx>
        <w:trPr>
          <w:trHeight w:val="106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2</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城乡居民基本医疗保险减免优惠</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　</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各区民政部门对低收入家庭进行年审后，把符合减免条件的名册交由各区人力资源和社会保障部门直接减免下一年度相关费用。</w:t>
            </w:r>
          </w:p>
        </w:tc>
        <w:tc>
          <w:tcPr>
            <w:tcW w:w="898" w:type="dxa"/>
            <w:vMerge w:val="continue"/>
            <w:tcBorders>
              <w:left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69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3</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spacing w:val="-12"/>
                <w:kern w:val="0"/>
                <w:sz w:val="24"/>
              </w:rPr>
              <w:t>医疗收费减免</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申请人到就医的非营利性医院提出申请。</w:t>
            </w:r>
          </w:p>
        </w:tc>
        <w:tc>
          <w:tcPr>
            <w:tcW w:w="898" w:type="dxa"/>
            <w:vMerge w:val="continue"/>
            <w:tcBorders>
              <w:left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516"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4</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有线数字电视收视维护费优惠</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申请人向当地广播电视台营业厅提出申请。</w:t>
            </w:r>
          </w:p>
        </w:tc>
        <w:tc>
          <w:tcPr>
            <w:tcW w:w="898" w:type="dxa"/>
            <w:vMerge w:val="continue"/>
            <w:tcBorders>
              <w:left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1080"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5</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水费、污水处理费和生活垃圾处理费优惠</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由供水单位根据民政局每年年审后提供的低收入家庭的水表用户编号名册，直接为低收入家庭减免</w:t>
            </w:r>
            <w:r>
              <w:rPr>
                <w:rFonts w:hint="eastAsia" w:ascii="方正仿宋_GBK" w:hAnsi="宋体" w:eastAsia="方正仿宋_GBK" w:cs="宋体"/>
                <w:color w:val="000000"/>
                <w:spacing w:val="-12"/>
                <w:kern w:val="0"/>
                <w:sz w:val="24"/>
              </w:rPr>
              <w:t>水费、污水处理费和生活垃圾处理费。</w:t>
            </w:r>
          </w:p>
        </w:tc>
        <w:tc>
          <w:tcPr>
            <w:tcW w:w="898" w:type="dxa"/>
            <w:vMerge w:val="continue"/>
            <w:tcBorders>
              <w:left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674"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6</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电费补贴和减免</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每年年终由各区财政部门和民政部门将当年电费补贴一次性发给低收入家庭。</w:t>
            </w:r>
          </w:p>
        </w:tc>
        <w:tc>
          <w:tcPr>
            <w:tcW w:w="898" w:type="dxa"/>
            <w:vMerge w:val="continue"/>
            <w:tcBorders>
              <w:left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2715" w:hRule="atLeast"/>
        </w:trPr>
        <w:tc>
          <w:tcPr>
            <w:tcW w:w="820" w:type="dxa"/>
            <w:tcBorders>
              <w:top w:val="nil"/>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7</w:t>
            </w:r>
          </w:p>
        </w:tc>
        <w:tc>
          <w:tcPr>
            <w:tcW w:w="1605" w:type="dxa"/>
            <w:tcBorders>
              <w:top w:val="nil"/>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kern w:val="0"/>
                <w:sz w:val="24"/>
              </w:rPr>
            </w:pPr>
            <w:r>
              <w:rPr>
                <w:rFonts w:hint="eastAsia" w:ascii="方正仿宋_GBK" w:hAnsi="宋体" w:eastAsia="方正仿宋_GBK" w:cs="宋体"/>
                <w:kern w:val="0"/>
                <w:sz w:val="24"/>
              </w:rPr>
              <w:t>直管公有住宅</w:t>
            </w:r>
          </w:p>
        </w:tc>
        <w:tc>
          <w:tcPr>
            <w:tcW w:w="2268"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1、低收入家庭优惠证/低保证/五保证；</w:t>
            </w:r>
          </w:p>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2、房屋租赁合同；</w:t>
            </w:r>
          </w:p>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3、“三无人员”提出申请须同时提供户籍所在区民政局出具的“三无人员”证明；</w:t>
            </w:r>
          </w:p>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4、残疾人申请的要出具相关证明</w:t>
            </w:r>
            <w:r>
              <w:rPr>
                <w:rFonts w:hint="eastAsia" w:ascii="方正仿宋_GBK" w:hAnsi="宋体" w:eastAsia="方正仿宋_GBK" w:cs="宋体"/>
                <w:color w:val="FF0000"/>
                <w:kern w:val="0"/>
                <w:sz w:val="24"/>
              </w:rPr>
              <w:t>；</w:t>
            </w:r>
          </w:p>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5、老人低收入家庭申请时要出具《老人证》。</w:t>
            </w:r>
          </w:p>
        </w:tc>
        <w:tc>
          <w:tcPr>
            <w:tcW w:w="3780" w:type="dxa"/>
            <w:tcBorders>
              <w:top w:val="nil"/>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申请人到市住建管理部门提出申请。</w:t>
            </w:r>
          </w:p>
        </w:tc>
        <w:tc>
          <w:tcPr>
            <w:tcW w:w="898"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750"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8</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kern w:val="0"/>
                <w:sz w:val="24"/>
              </w:rPr>
            </w:pPr>
            <w:r>
              <w:rPr>
                <w:rFonts w:hint="eastAsia" w:ascii="方正仿宋_GBK" w:hAnsi="宋体" w:eastAsia="方正仿宋_GBK" w:cs="宋体"/>
                <w:color w:val="000000"/>
                <w:spacing w:val="-12"/>
                <w:kern w:val="0"/>
                <w:sz w:val="24"/>
              </w:rPr>
              <w:t>公共汽车优惠</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申请人到江门市五邑通智能卡有限公司服务中心提出申请。</w:t>
            </w:r>
          </w:p>
        </w:tc>
        <w:tc>
          <w:tcPr>
            <w:tcW w:w="898" w:type="dxa"/>
            <w:vMerge w:val="restart"/>
            <w:tcBorders>
              <w:top w:val="single" w:color="auto" w:sz="4" w:space="0"/>
              <w:left w:val="single" w:color="auto" w:sz="4" w:space="0"/>
              <w:right w:val="single" w:color="auto" w:sz="4" w:space="0"/>
            </w:tcBorders>
            <w:shd w:val="clear" w:color="auto" w:fill="auto"/>
            <w:vAlign w:val="center"/>
          </w:tcPr>
          <w:p>
            <w:pPr>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　</w:t>
            </w:r>
          </w:p>
        </w:tc>
      </w:tr>
      <w:tr>
        <w:tblPrEx>
          <w:tblLayout w:type="fixed"/>
          <w:tblCellMar>
            <w:top w:w="0" w:type="dxa"/>
            <w:left w:w="108" w:type="dxa"/>
            <w:bottom w:w="0" w:type="dxa"/>
            <w:right w:w="108" w:type="dxa"/>
          </w:tblCellMar>
        </w:tblPrEx>
        <w:trPr>
          <w:trHeight w:val="660"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9</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kern w:val="0"/>
                <w:sz w:val="24"/>
              </w:rPr>
            </w:pPr>
            <w:r>
              <w:rPr>
                <w:rFonts w:hint="eastAsia" w:ascii="方正仿宋_GBK" w:hAnsi="宋体" w:eastAsia="方正仿宋_GBK" w:cs="宋体"/>
                <w:kern w:val="0"/>
                <w:sz w:val="24"/>
              </w:rPr>
              <w:t>免费提供法律援助</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申请人到我市各地的法律援助机构提出申请。</w:t>
            </w:r>
          </w:p>
        </w:tc>
        <w:tc>
          <w:tcPr>
            <w:tcW w:w="898" w:type="dxa"/>
            <w:vMerge w:val="continue"/>
            <w:tcBorders>
              <w:left w:val="single" w:color="auto" w:sz="4" w:space="0"/>
              <w:right w:val="single" w:color="auto" w:sz="4" w:space="0"/>
            </w:tcBorders>
            <w:shd w:val="clear" w:color="auto" w:fill="auto"/>
            <w:vAlign w:val="center"/>
          </w:tcPr>
          <w:p>
            <w:pPr>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675"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color w:val="000000"/>
                <w:spacing w:val="-12"/>
                <w:kern w:val="0"/>
                <w:sz w:val="24"/>
              </w:rPr>
            </w:pPr>
            <w:r>
              <w:rPr>
                <w:rFonts w:hint="eastAsia" w:ascii="方正仿宋_GBK" w:hAnsi="宋体" w:eastAsia="方正仿宋_GBK" w:cs="宋体"/>
                <w:color w:val="000000"/>
                <w:spacing w:val="-12"/>
                <w:kern w:val="0"/>
                <w:sz w:val="24"/>
              </w:rPr>
              <w:t>10</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color w:val="000000"/>
                <w:spacing w:val="-12"/>
                <w:kern w:val="0"/>
                <w:sz w:val="24"/>
              </w:rPr>
            </w:pPr>
            <w:r>
              <w:rPr>
                <w:rFonts w:hint="eastAsia" w:ascii="方正仿宋_GBK" w:hAnsi="宋体" w:eastAsia="方正仿宋_GBK" w:cs="宋体"/>
                <w:color w:val="000000"/>
                <w:spacing w:val="-12"/>
                <w:kern w:val="0"/>
                <w:sz w:val="24"/>
              </w:rPr>
              <w:t>电信资费优惠</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低收入家庭优惠证/低保证/五保证</w:t>
            </w:r>
          </w:p>
        </w:tc>
        <w:tc>
          <w:tcPr>
            <w:tcW w:w="37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color w:val="000000"/>
                <w:kern w:val="0"/>
                <w:sz w:val="24"/>
              </w:rPr>
            </w:pPr>
            <w:r>
              <w:rPr>
                <w:rFonts w:hint="eastAsia" w:ascii="方正仿宋_GBK" w:hAnsi="宋体" w:eastAsia="方正仿宋_GBK" w:cs="宋体"/>
                <w:color w:val="000000"/>
                <w:kern w:val="0"/>
                <w:sz w:val="24"/>
              </w:rPr>
              <w:t>申请人到电信运营企业的营业窗口提出申请。</w:t>
            </w:r>
          </w:p>
        </w:tc>
        <w:tc>
          <w:tcPr>
            <w:tcW w:w="898" w:type="dxa"/>
            <w:vMerge w:val="continue"/>
            <w:tcBorders>
              <w:left w:val="single" w:color="auto" w:sz="4" w:space="0"/>
              <w:right w:val="single" w:color="auto" w:sz="4" w:space="0"/>
            </w:tcBorders>
            <w:shd w:val="clear" w:color="auto" w:fill="auto"/>
            <w:vAlign w:val="center"/>
          </w:tcPr>
          <w:p>
            <w:pPr>
              <w:spacing w:line="340" w:lineRule="exact"/>
              <w:jc w:val="left"/>
              <w:rPr>
                <w:rFonts w:hint="eastAsia" w:ascii="方正仿宋_GBK" w:hAnsi="宋体" w:eastAsia="方正仿宋_GBK" w:cs="宋体"/>
                <w:kern w:val="0"/>
                <w:sz w:val="24"/>
              </w:rPr>
            </w:pPr>
          </w:p>
        </w:tc>
      </w:tr>
      <w:tr>
        <w:tblPrEx>
          <w:tblLayout w:type="fixed"/>
          <w:tblCellMar>
            <w:top w:w="0" w:type="dxa"/>
            <w:left w:w="108" w:type="dxa"/>
            <w:bottom w:w="0" w:type="dxa"/>
            <w:right w:w="108" w:type="dxa"/>
          </w:tblCellMar>
        </w:tblPrEx>
        <w:trPr>
          <w:trHeight w:val="799" w:hRule="atLeast"/>
        </w:trPr>
        <w:tc>
          <w:tcPr>
            <w:tcW w:w="8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40" w:lineRule="exact"/>
              <w:jc w:val="center"/>
              <w:rPr>
                <w:rFonts w:hint="eastAsia" w:ascii="方正仿宋_GBK" w:hAnsi="宋体" w:eastAsia="方正仿宋_GBK" w:cs="宋体"/>
                <w:kern w:val="0"/>
                <w:sz w:val="24"/>
              </w:rPr>
            </w:pPr>
            <w:r>
              <w:rPr>
                <w:rFonts w:hint="eastAsia" w:ascii="方正仿宋_GBK" w:hAnsi="宋体" w:eastAsia="方正仿宋_GBK" w:cs="宋体"/>
                <w:kern w:val="0"/>
                <w:sz w:val="24"/>
              </w:rPr>
              <w:t>11</w:t>
            </w:r>
          </w:p>
        </w:tc>
        <w:tc>
          <w:tcPr>
            <w:tcW w:w="1605"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rPr>
                <w:rFonts w:hint="eastAsia" w:ascii="方正仿宋_GBK" w:hAnsi="宋体" w:eastAsia="方正仿宋_GBK" w:cs="宋体"/>
                <w:kern w:val="0"/>
                <w:sz w:val="24"/>
              </w:rPr>
            </w:pPr>
            <w:r>
              <w:rPr>
                <w:rFonts w:hint="eastAsia" w:ascii="方正仿宋_GBK" w:hAnsi="宋体" w:eastAsia="方正仿宋_GBK" w:cs="宋体"/>
                <w:color w:val="000000"/>
                <w:spacing w:val="-12"/>
                <w:kern w:val="0"/>
                <w:sz w:val="24"/>
              </w:rPr>
              <w:t>临时价格补贴</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　</w:t>
            </w:r>
          </w:p>
        </w:tc>
        <w:tc>
          <w:tcPr>
            <w:tcW w:w="3780" w:type="dxa"/>
            <w:tcBorders>
              <w:top w:val="single" w:color="auto" w:sz="4" w:space="0"/>
              <w:left w:val="nil"/>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r>
              <w:rPr>
                <w:rFonts w:hint="eastAsia" w:ascii="方正仿宋_GBK" w:hAnsi="宋体" w:eastAsia="方正仿宋_GBK" w:cs="宋体"/>
                <w:kern w:val="0"/>
                <w:sz w:val="24"/>
              </w:rPr>
              <w:t>各区物价部门、民政部门、财政部门和人力资源保障部门按联动机制将临时价格补贴发放给低收入家庭。</w:t>
            </w:r>
          </w:p>
        </w:tc>
        <w:tc>
          <w:tcPr>
            <w:tcW w:w="898" w:type="dxa"/>
            <w:vMerge w:val="continue"/>
            <w:tcBorders>
              <w:left w:val="single" w:color="auto" w:sz="4" w:space="0"/>
              <w:bottom w:val="single" w:color="auto" w:sz="4" w:space="0"/>
              <w:right w:val="single" w:color="auto" w:sz="4" w:space="0"/>
            </w:tcBorders>
            <w:shd w:val="clear" w:color="auto" w:fill="auto"/>
            <w:vAlign w:val="center"/>
          </w:tcPr>
          <w:p>
            <w:pPr>
              <w:widowControl/>
              <w:spacing w:line="340" w:lineRule="exact"/>
              <w:jc w:val="left"/>
              <w:rPr>
                <w:rFonts w:hint="eastAsia" w:ascii="方正仿宋_GBK" w:hAnsi="宋体" w:eastAsia="方正仿宋_GBK" w:cs="宋体"/>
                <w:kern w:val="0"/>
                <w:sz w:val="24"/>
              </w:rPr>
            </w:pPr>
          </w:p>
        </w:tc>
      </w:tr>
    </w:tbl>
    <w:p>
      <w:pPr>
        <w:spacing w:line="560" w:lineRule="exact"/>
        <w:jc w:val="left"/>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大标宋_GBK">
    <w:altName w:val="宋体"/>
    <w:panose1 w:val="03000509000000000000"/>
    <w:charset w:val="86"/>
    <w:family w:val="script"/>
    <w:pitch w:val="default"/>
    <w:sig w:usb0="00000000" w:usb1="00000000" w:usb2="00000010"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041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2016-07-19T00:54:11Z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