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center"/>
        <w:rPr>
          <w:rFonts w:ascii="宋体" w:hAnsi="宋体" w:eastAsia="宋体" w:cs="宋体"/>
          <w:b/>
          <w:bCs/>
          <w:sz w:val="44"/>
          <w:szCs w:val="44"/>
        </w:rPr>
      </w:pPr>
    </w:p>
    <w:p>
      <w:pPr>
        <w:jc w:val="center"/>
        <w:rPr>
          <w:rFonts w:ascii="宋体" w:hAnsi="宋体" w:eastAsia="宋体" w:cs="宋体"/>
          <w:b/>
          <w:bCs/>
          <w:sz w:val="44"/>
          <w:szCs w:val="44"/>
        </w:rPr>
      </w:pPr>
      <w:r>
        <w:rPr>
          <w:rFonts w:hint="eastAsia" w:ascii="宋体" w:hAnsi="宋体" w:eastAsia="宋体" w:cs="宋体"/>
          <w:b/>
          <w:bCs/>
          <w:sz w:val="44"/>
          <w:szCs w:val="44"/>
        </w:rPr>
        <w:t>关于《江门市重大行政决策程序规定</w:t>
      </w:r>
    </w:p>
    <w:p>
      <w:pPr>
        <w:jc w:val="center"/>
        <w:rPr>
          <w:rFonts w:ascii="仿宋" w:hAnsi="仿宋" w:eastAsia="仿宋" w:cs="仿宋"/>
          <w:sz w:val="32"/>
          <w:szCs w:val="32"/>
        </w:rPr>
      </w:pPr>
      <w:r>
        <w:rPr>
          <w:rFonts w:hint="eastAsia" w:ascii="宋体" w:hAnsi="宋体" w:eastAsia="宋体" w:cs="宋体"/>
          <w:b/>
          <w:bCs/>
          <w:sz w:val="44"/>
          <w:szCs w:val="44"/>
        </w:rPr>
        <w:t>（征求意见稿）》的起草说明</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为了规范重大行政决策程序，健全科学、民主、依法决策机制，提高重大行政决策质量和效率，明确决策责任，按照市政府十五届107次常务会议要求，根据《重大行政决策程序暂行条例》等规定，结合我市实际，对《江门市人民政府重大行政决策程序规定（试行）》进行修订，形成《江门市重大行政决策程序规定（征求意见稿）》（以下简称《规定》），现将有关情况说明如下：</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修订背景和必要性</w:t>
      </w:r>
    </w:p>
    <w:p>
      <w:pPr>
        <w:ind w:firstLine="640"/>
        <w:rPr>
          <w:rFonts w:ascii="仿宋" w:hAnsi="仿宋" w:eastAsia="仿宋" w:cs="仿宋"/>
          <w:sz w:val="32"/>
          <w:szCs w:val="32"/>
        </w:rPr>
      </w:pPr>
      <w:r>
        <w:rPr>
          <w:rFonts w:hint="eastAsia" w:ascii="仿宋" w:hAnsi="仿宋" w:eastAsia="仿宋" w:cs="仿宋"/>
          <w:sz w:val="32"/>
          <w:szCs w:val="32"/>
        </w:rPr>
        <w:t>规范重大行政决策程序，是建设法治国家、法治政府的必然要求，是完善中国特色社会主义法治体系、推进国家治理体系和治理能力现代化的重要举措。党的十八大以来，党中央、国务院高度重视科学、民主、依法决策。党的十八届四中全会《决定》把健全依法决策机制作为深入推进依法行政、加快建设法治政府的重要方面，明确提出健全依法决策机制，把公众参与、专家论证、风险评估、合法性审查、集体讨论决定确定为重大行政决策的法定程序。《法治政府建设实施纲要（2015-2020年）》进一步提出了推进行政决策科学化、民主化、法治化的具体目标和措施。2019年4月20日，国务院颁布了《重大行政决策程序暂行条例》（以下简称《条例》），对重大行政决策事项范围、重大行政决策的作出和调整程序、重大行政决策责任追究等方面作出了新的具体规定。</w:t>
      </w:r>
    </w:p>
    <w:p>
      <w:pPr>
        <w:ind w:firstLine="640"/>
        <w:rPr>
          <w:rFonts w:ascii="楷体" w:hAnsi="楷体" w:eastAsia="楷体" w:cs="楷体"/>
          <w:sz w:val="32"/>
          <w:szCs w:val="32"/>
        </w:rPr>
      </w:pPr>
      <w:r>
        <w:rPr>
          <w:rFonts w:hint="eastAsia" w:ascii="仿宋" w:hAnsi="仿宋" w:eastAsia="仿宋" w:cs="仿宋"/>
          <w:sz w:val="32"/>
          <w:szCs w:val="32"/>
        </w:rPr>
        <w:t>《江门市人民政府重大行政决策程序规定（试行）》自2014年6月26日公布、2014年8月1日施行以来，对规范我市各级政府重大行政决策，健全重大行政决策机制，进一步提高重大行政决策的质量和效率发挥了积极作用，但在实践中仍存在不少薄弱环节，如重大行政决策范围不明晰、程序执行不到位、监督机制不够完善等。为深入贯彻落实中央、省、市的部署要求，进一步完善我市重大行政决策的体制机制，推进行政决策科学化、民主化、法治化，提高重大行政决策的质量和效率，根据《条例》对《规定》进行修订十分必要。</w:t>
      </w:r>
    </w:p>
    <w:p>
      <w:pPr>
        <w:ind w:firstLine="640" w:firstLineChars="200"/>
        <w:rPr>
          <w:rFonts w:ascii="黑体" w:hAnsi="黑体" w:eastAsia="黑体" w:cs="黑体"/>
          <w:sz w:val="32"/>
          <w:szCs w:val="32"/>
        </w:rPr>
      </w:pPr>
      <w:r>
        <w:rPr>
          <w:rFonts w:hint="eastAsia" w:ascii="黑体" w:hAnsi="黑体" w:eastAsia="黑体" w:cs="黑体"/>
          <w:sz w:val="32"/>
          <w:szCs w:val="32"/>
        </w:rPr>
        <w:t>二、修订的主要依据</w:t>
      </w:r>
    </w:p>
    <w:p>
      <w:pPr>
        <w:ind w:firstLine="640" w:firstLineChars="200"/>
        <w:rPr>
          <w:rFonts w:ascii="仿宋" w:hAnsi="仿宋" w:eastAsia="仿宋" w:cs="仿宋"/>
          <w:sz w:val="32"/>
          <w:szCs w:val="32"/>
        </w:rPr>
      </w:pPr>
      <w:r>
        <w:rPr>
          <w:rFonts w:hint="eastAsia" w:ascii="仿宋" w:hAnsi="仿宋" w:eastAsia="仿宋" w:cs="仿宋"/>
          <w:sz w:val="32"/>
          <w:szCs w:val="32"/>
        </w:rPr>
        <w:t>1.《重大行政决策程序暂行条例》；</w:t>
      </w:r>
    </w:p>
    <w:p>
      <w:pPr>
        <w:ind w:firstLine="640" w:firstLineChars="200"/>
        <w:rPr>
          <w:rFonts w:ascii="仿宋" w:hAnsi="仿宋" w:eastAsia="仿宋" w:cs="仿宋"/>
          <w:sz w:val="32"/>
          <w:szCs w:val="32"/>
        </w:rPr>
      </w:pPr>
      <w:r>
        <w:rPr>
          <w:rFonts w:hint="eastAsia" w:ascii="仿宋" w:hAnsi="仿宋" w:eastAsia="仿宋" w:cs="仿宋"/>
          <w:sz w:val="32"/>
          <w:szCs w:val="32"/>
        </w:rPr>
        <w:t>2.《中共中央关于全面推进依法治国若干重大问题的决定》；</w:t>
      </w:r>
    </w:p>
    <w:p>
      <w:pPr>
        <w:ind w:firstLine="640" w:firstLineChars="200"/>
        <w:rPr>
          <w:rFonts w:ascii="仿宋" w:hAnsi="仿宋" w:eastAsia="仿宋" w:cs="仿宋"/>
          <w:sz w:val="32"/>
          <w:szCs w:val="32"/>
        </w:rPr>
      </w:pPr>
      <w:r>
        <w:rPr>
          <w:rFonts w:hint="eastAsia" w:ascii="仿宋" w:hAnsi="仿宋" w:eastAsia="仿宋" w:cs="仿宋"/>
          <w:sz w:val="32"/>
          <w:szCs w:val="32"/>
        </w:rPr>
        <w:t>3.《法治政府建设实施纲要（2015-2020年）》；</w:t>
      </w:r>
    </w:p>
    <w:p>
      <w:pPr>
        <w:ind w:firstLine="640" w:firstLineChars="200"/>
        <w:rPr>
          <w:rFonts w:ascii="仿宋" w:hAnsi="仿宋" w:eastAsia="仿宋" w:cs="仿宋"/>
          <w:sz w:val="32"/>
          <w:szCs w:val="32"/>
        </w:rPr>
      </w:pPr>
      <w:r>
        <w:rPr>
          <w:rFonts w:hint="eastAsia" w:ascii="仿宋" w:hAnsi="仿宋" w:eastAsia="仿宋" w:cs="仿宋"/>
          <w:sz w:val="32"/>
          <w:szCs w:val="32"/>
        </w:rPr>
        <w:t>4.《广东省重大行政决策程序规定</w:t>
      </w:r>
      <w:r>
        <w:rPr>
          <w:rFonts w:hint="eastAsia" w:ascii="仿宋" w:hAnsi="仿宋" w:eastAsia="仿宋" w:cs="仿宋"/>
          <w:sz w:val="32"/>
          <w:szCs w:val="32"/>
          <w:lang w:eastAsia="zh-CN"/>
        </w:rPr>
        <w:t>（征求意见稿</w:t>
      </w:r>
      <w:bookmarkStart w:id="0" w:name="_GoBack"/>
      <w:bookmarkEnd w:id="0"/>
      <w:r>
        <w:rPr>
          <w:rFonts w:hint="eastAsia" w:ascii="仿宋" w:hAnsi="仿宋" w:eastAsia="仿宋" w:cs="仿宋"/>
          <w:sz w:val="32"/>
          <w:szCs w:val="32"/>
          <w:lang w:eastAsia="zh-CN"/>
        </w:rPr>
        <w:t>）</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5.《广东省重大行政决策听证规定》。</w:t>
      </w:r>
    </w:p>
    <w:p>
      <w:pPr>
        <w:ind w:firstLine="640" w:firstLineChars="200"/>
        <w:rPr>
          <w:rFonts w:ascii="仿宋" w:hAnsi="仿宋" w:eastAsia="仿宋" w:cs="仿宋"/>
          <w:sz w:val="32"/>
          <w:szCs w:val="32"/>
        </w:rPr>
      </w:pPr>
      <w:r>
        <w:rPr>
          <w:rFonts w:hint="eastAsia" w:ascii="黑体" w:hAnsi="黑体" w:eastAsia="黑体" w:cs="黑体"/>
          <w:sz w:val="32"/>
          <w:szCs w:val="32"/>
        </w:rPr>
        <w:t>三、《规定》的主要内容</w:t>
      </w:r>
    </w:p>
    <w:p>
      <w:pPr>
        <w:ind w:firstLine="640" w:firstLineChars="200"/>
        <w:rPr>
          <w:rFonts w:ascii="仿宋" w:hAnsi="仿宋" w:eastAsia="仿宋" w:cs="仿宋"/>
          <w:sz w:val="32"/>
          <w:szCs w:val="32"/>
        </w:rPr>
      </w:pPr>
      <w:r>
        <w:rPr>
          <w:rFonts w:hint="eastAsia" w:ascii="仿宋" w:hAnsi="仿宋" w:eastAsia="仿宋" w:cs="仿宋"/>
          <w:sz w:val="32"/>
          <w:szCs w:val="32"/>
        </w:rPr>
        <w:t>《规定》分为六章，共64条，包括总则、决策草案的形成、合法性审查和集体讨论决定、决策执行与实施后评估、法律责任和附则，其中第二章“决策草案的形成”分为四节，包括决策启动、公众参与、专家论证、风险评估；第三章包括合法性审查、集体讨论两节。主要内容包括以下六个方面：</w:t>
      </w:r>
    </w:p>
    <w:p>
      <w:pPr>
        <w:ind w:firstLine="640" w:firstLineChars="200"/>
        <w:rPr>
          <w:rFonts w:ascii="仿宋" w:hAnsi="仿宋" w:eastAsia="仿宋" w:cs="仿宋"/>
          <w:sz w:val="32"/>
          <w:szCs w:val="32"/>
        </w:rPr>
      </w:pPr>
      <w:r>
        <w:rPr>
          <w:rFonts w:hint="eastAsia" w:ascii="楷体" w:hAnsi="楷体" w:eastAsia="楷体" w:cs="楷体"/>
          <w:sz w:val="32"/>
          <w:szCs w:val="32"/>
        </w:rPr>
        <w:t>一是关于决策主体范围。</w:t>
      </w:r>
      <w:r>
        <w:rPr>
          <w:rFonts w:hint="eastAsia" w:ascii="仿宋" w:hAnsi="仿宋" w:eastAsia="仿宋" w:cs="仿宋"/>
          <w:sz w:val="32"/>
          <w:szCs w:val="32"/>
        </w:rPr>
        <w:t>《规定》明确了决策主体是市、各市（区）人民政府，并规定</w:t>
      </w:r>
      <w:r>
        <w:rPr>
          <w:rFonts w:ascii="仿宋_GB2312" w:eastAsia="仿宋_GB2312" w:cs="仿宋_GB2312"/>
          <w:sz w:val="32"/>
          <w:szCs w:val="32"/>
          <w:lang w:bidi="ar"/>
        </w:rPr>
        <w:t>市、</w:t>
      </w:r>
      <w:r>
        <w:rPr>
          <w:rFonts w:hint="eastAsia" w:ascii="仿宋_GB2312" w:eastAsia="仿宋_GB2312" w:cs="仿宋_GB2312"/>
          <w:sz w:val="32"/>
          <w:szCs w:val="32"/>
          <w:lang w:bidi="ar"/>
        </w:rPr>
        <w:t>各市（</w:t>
      </w:r>
      <w:r>
        <w:rPr>
          <w:rFonts w:ascii="仿宋_GB2312" w:eastAsia="仿宋_GB2312" w:cs="仿宋_GB2312"/>
          <w:sz w:val="32"/>
          <w:szCs w:val="32"/>
          <w:lang w:bidi="ar"/>
        </w:rPr>
        <w:t>区</w:t>
      </w:r>
      <w:r>
        <w:rPr>
          <w:rFonts w:hint="eastAsia" w:ascii="仿宋_GB2312" w:eastAsia="仿宋_GB2312" w:cs="仿宋_GB2312"/>
          <w:sz w:val="32"/>
          <w:szCs w:val="32"/>
          <w:lang w:bidi="ar"/>
        </w:rPr>
        <w:t>）</w:t>
      </w:r>
      <w:r>
        <w:rPr>
          <w:rFonts w:ascii="仿宋_GB2312" w:eastAsia="仿宋_GB2312" w:cs="仿宋_GB2312"/>
          <w:sz w:val="32"/>
          <w:szCs w:val="32"/>
          <w:lang w:bidi="ar"/>
        </w:rPr>
        <w:t>人民政府部门以及乡镇人民政府</w:t>
      </w:r>
      <w:r>
        <w:rPr>
          <w:rFonts w:hint="eastAsia" w:ascii="仿宋_GB2312" w:eastAsia="仿宋_GB2312" w:cs="仿宋_GB2312"/>
          <w:sz w:val="32"/>
          <w:szCs w:val="32"/>
          <w:lang w:bidi="ar"/>
        </w:rPr>
        <w:t>（</w:t>
      </w:r>
      <w:r>
        <w:rPr>
          <w:rFonts w:ascii="仿宋_GB2312" w:eastAsia="仿宋_GB2312" w:cs="仿宋_GB2312"/>
          <w:sz w:val="32"/>
          <w:szCs w:val="32"/>
          <w:lang w:bidi="ar"/>
        </w:rPr>
        <w:t>街道办事处</w:t>
      </w:r>
      <w:r>
        <w:rPr>
          <w:rFonts w:hint="eastAsia" w:ascii="仿宋_GB2312" w:eastAsia="仿宋_GB2312" w:cs="仿宋_GB2312"/>
          <w:sz w:val="32"/>
          <w:szCs w:val="32"/>
          <w:lang w:bidi="ar"/>
        </w:rPr>
        <w:t>）</w:t>
      </w:r>
      <w:r>
        <w:rPr>
          <w:rFonts w:hint="eastAsia" w:ascii="仿宋_GB2312" w:eastAsia="仿宋_GB2312" w:cs="仿宋_GB2312"/>
          <w:kern w:val="0"/>
          <w:sz w:val="32"/>
          <w:szCs w:val="32"/>
          <w:lang w:bidi="ar"/>
        </w:rPr>
        <w:t>、新区管理</w:t>
      </w:r>
      <w:r>
        <w:rPr>
          <w:rFonts w:hint="eastAsia" w:ascii="仿宋_GB2312" w:eastAsia="仿宋_GB2312" w:cs="仿宋_GB2312"/>
          <w:sz w:val="32"/>
          <w:szCs w:val="32"/>
          <w:lang w:bidi="ar"/>
        </w:rPr>
        <w:t>委员会</w:t>
      </w:r>
      <w:r>
        <w:rPr>
          <w:rFonts w:ascii="仿宋_GB2312" w:eastAsia="仿宋_GB2312" w:cs="仿宋_GB2312"/>
          <w:sz w:val="32"/>
          <w:szCs w:val="32"/>
          <w:lang w:bidi="ar"/>
        </w:rPr>
        <w:t>以及法律、法规授权行使行政管理职能的组织</w:t>
      </w:r>
      <w:r>
        <w:rPr>
          <w:rFonts w:hint="eastAsia" w:ascii="仿宋" w:hAnsi="仿宋" w:eastAsia="仿宋" w:cs="仿宋"/>
          <w:sz w:val="32"/>
          <w:szCs w:val="32"/>
        </w:rPr>
        <w:t>参照执行。《规定》综合考虑我市实际情况，将市本级、各市（区）人民政府作为需要加强规范的重点对象，列为直接适用主体，将其他单位作为参照适用主体。</w:t>
      </w:r>
    </w:p>
    <w:p>
      <w:pPr>
        <w:ind w:firstLine="640" w:firstLineChars="200"/>
        <w:rPr>
          <w:rFonts w:ascii="仿宋" w:hAnsi="仿宋" w:eastAsia="仿宋" w:cs="仿宋"/>
          <w:sz w:val="32"/>
          <w:szCs w:val="32"/>
        </w:rPr>
      </w:pPr>
      <w:r>
        <w:rPr>
          <w:rFonts w:hint="eastAsia" w:ascii="楷体" w:hAnsi="楷体" w:eastAsia="楷体" w:cs="楷体"/>
          <w:sz w:val="32"/>
          <w:szCs w:val="32"/>
        </w:rPr>
        <w:t>二是关于决策事项范围。</w:t>
      </w:r>
      <w:r>
        <w:rPr>
          <w:rFonts w:hint="eastAsia" w:ascii="仿宋" w:hAnsi="仿宋" w:eastAsia="仿宋" w:cs="仿宋"/>
          <w:sz w:val="32"/>
          <w:szCs w:val="32"/>
        </w:rPr>
        <w:t>《规定》采取列举、目录管理和公开相结合的方式规定重大行政决策事项范围，允许决策机关在列举的事项范围内，根据本地实际和职责权限，确定具体适用的重大行政决策事项范围目录和年度目录，并向社会公布，保证决策机关能够自主地、实事求是地确定目录，也便于接受社会公众监督。同时，也规定了决策事项的例外情形，对财政政策、政府立法决策以及突发事件应急处置等其他事项的决策程序，法律法规另有规定，从其规定。</w:t>
      </w:r>
    </w:p>
    <w:p>
      <w:pPr>
        <w:ind w:firstLine="640" w:firstLineChars="200"/>
        <w:rPr>
          <w:rFonts w:ascii="仿宋" w:hAnsi="仿宋" w:eastAsia="仿宋" w:cs="仿宋"/>
          <w:sz w:val="32"/>
          <w:szCs w:val="32"/>
        </w:rPr>
      </w:pPr>
      <w:r>
        <w:rPr>
          <w:rFonts w:hint="eastAsia" w:ascii="楷体" w:hAnsi="楷体" w:eastAsia="楷体" w:cs="楷体"/>
          <w:sz w:val="32"/>
          <w:szCs w:val="32"/>
        </w:rPr>
        <w:t>三是关于决策启动。</w:t>
      </w:r>
      <w:r>
        <w:rPr>
          <w:rFonts w:hint="eastAsia" w:ascii="仿宋" w:hAnsi="仿宋" w:eastAsia="仿宋" w:cs="仿宋"/>
          <w:sz w:val="32"/>
          <w:szCs w:val="32"/>
        </w:rPr>
        <w:t>决策启动是源头，把决策动议环节纳入法治化轨道，有助于遏制草率启动决策、上马项目，减少行政和财政资源浪费。为此，《规定》在参考上位法体例的基础上，将“决策启动”作为第二章“决策草案形成”的第一节，主要明确决策建议研究论证单位和决策承办单位，并对决策建议书内容以及决策承办单位起草决策草案提出了具体要求。</w:t>
      </w:r>
    </w:p>
    <w:p>
      <w:pPr>
        <w:ind w:firstLine="640" w:firstLineChars="200"/>
        <w:rPr>
          <w:rFonts w:ascii="仿宋" w:hAnsi="仿宋" w:eastAsia="仿宋" w:cs="仿宋"/>
          <w:sz w:val="32"/>
          <w:szCs w:val="32"/>
        </w:rPr>
      </w:pPr>
      <w:r>
        <w:rPr>
          <w:rFonts w:hint="eastAsia" w:ascii="楷体" w:hAnsi="楷体" w:eastAsia="楷体" w:cs="楷体"/>
          <w:sz w:val="32"/>
          <w:szCs w:val="32"/>
        </w:rPr>
        <w:t>四是关于决策法定程序。</w:t>
      </w:r>
      <w:r>
        <w:rPr>
          <w:rFonts w:hint="eastAsia" w:ascii="仿宋" w:hAnsi="仿宋" w:eastAsia="仿宋" w:cs="仿宋"/>
          <w:sz w:val="32"/>
          <w:szCs w:val="32"/>
        </w:rPr>
        <w:t>决策法定程序包括公众参与、专家论证、风险评估、合法性审查、集体讨论五个环节。</w:t>
      </w:r>
    </w:p>
    <w:p>
      <w:pPr>
        <w:ind w:firstLine="640" w:firstLineChars="200"/>
        <w:rPr>
          <w:rFonts w:ascii="仿宋" w:hAnsi="仿宋" w:eastAsia="仿宋" w:cs="仿宋"/>
          <w:sz w:val="32"/>
          <w:szCs w:val="32"/>
        </w:rPr>
      </w:pPr>
      <w:r>
        <w:rPr>
          <w:rFonts w:hint="eastAsia" w:ascii="仿宋" w:hAnsi="仿宋" w:eastAsia="仿宋" w:cs="仿宋"/>
          <w:sz w:val="32"/>
          <w:szCs w:val="32"/>
        </w:rPr>
        <w:t>1.公众参与是民主决策的重要体现。《规定》要求，对关系群众切身利益的事项，应当广泛听取社会公众意见，具体方式方法应当根据决策事项根据决策事项的性质类别、复杂程度、影响范围、社会关注度等因素进行选择，并对公开征求意见的内容、听证会的召开和程序、公众参与反馈等作出明确规定。</w:t>
      </w:r>
    </w:p>
    <w:p>
      <w:pPr>
        <w:ind w:firstLine="640" w:firstLineChars="200"/>
        <w:rPr>
          <w:rFonts w:ascii="仿宋" w:hAnsi="仿宋" w:eastAsia="仿宋" w:cs="仿宋"/>
          <w:sz w:val="32"/>
          <w:szCs w:val="32"/>
        </w:rPr>
      </w:pPr>
      <w:r>
        <w:rPr>
          <w:rFonts w:hint="eastAsia" w:ascii="仿宋" w:hAnsi="仿宋" w:eastAsia="仿宋" w:cs="仿宋"/>
          <w:sz w:val="32"/>
          <w:szCs w:val="32"/>
        </w:rPr>
        <w:t>2.专家论证是科学决策的重要体现。《规定》要求，对专业性、技术性较强的决策事项，应当开展咨询论证。起草过程中，我们结合广东省和江门市重大行政决策专家咨询论证相关规定，对专家论证制度作了细化规定。</w:t>
      </w:r>
    </w:p>
    <w:p>
      <w:pPr>
        <w:ind w:firstLine="640" w:firstLineChars="200"/>
        <w:rPr>
          <w:rFonts w:ascii="仿宋" w:hAnsi="仿宋" w:eastAsia="仿宋" w:cs="仿宋"/>
          <w:sz w:val="32"/>
          <w:szCs w:val="32"/>
        </w:rPr>
      </w:pPr>
      <w:r>
        <w:rPr>
          <w:rFonts w:hint="eastAsia" w:ascii="仿宋" w:hAnsi="仿宋" w:eastAsia="仿宋" w:cs="仿宋"/>
          <w:sz w:val="32"/>
          <w:szCs w:val="32"/>
        </w:rPr>
        <w:t>3.风险评估是防范决策风险、减少决策失误的重要举措，能够保证决策者在全面清醒认识决策负面影响的基础上进行决策。《规定》坚持风险可控作为决策标准，由决策承办单位或者决策机关指定的有关单位开展风险评估；经评估认为风险不可控的，不得决策，或者调整决策方案，确保风险可控后再行决策。</w:t>
      </w:r>
    </w:p>
    <w:p>
      <w:pPr>
        <w:ind w:firstLine="640" w:firstLineChars="200"/>
        <w:rPr>
          <w:rFonts w:ascii="仿宋" w:hAnsi="仿宋" w:eastAsia="仿宋" w:cs="仿宋"/>
          <w:sz w:val="32"/>
          <w:szCs w:val="32"/>
        </w:rPr>
      </w:pPr>
      <w:r>
        <w:rPr>
          <w:rFonts w:hint="eastAsia" w:ascii="仿宋" w:hAnsi="仿宋" w:eastAsia="仿宋" w:cs="仿宋"/>
          <w:sz w:val="32"/>
          <w:szCs w:val="32"/>
        </w:rPr>
        <w:t>4.合法性审查是依法决策的重要保障。《规定》明确合法性审查为决策必经程序，规定未经合法性审查或者经审查不合法的，不得提交决策机关讨论。《规定》还明确了合法性审查应当提交的材料、审查方式、审查期限和审查内容，规定负责合法性审查的部门应当出具审查意见，决策承办单位应当根据合法性审查意见作相应处理。</w:t>
      </w:r>
    </w:p>
    <w:p>
      <w:pPr>
        <w:ind w:firstLine="640" w:firstLineChars="200"/>
        <w:rPr>
          <w:rFonts w:ascii="仿宋" w:hAnsi="仿宋" w:eastAsia="仿宋" w:cs="仿宋"/>
          <w:sz w:val="32"/>
          <w:szCs w:val="32"/>
        </w:rPr>
      </w:pPr>
      <w:r>
        <w:rPr>
          <w:rFonts w:hint="eastAsia" w:ascii="仿宋" w:hAnsi="仿宋" w:eastAsia="仿宋" w:cs="仿宋"/>
          <w:sz w:val="32"/>
          <w:szCs w:val="32"/>
        </w:rPr>
        <w:t>5.集体讨论决定是民主决策的重要内容。《规定》明确集体讨论决定为决策必经程序。集体讨论决定是民主集中制的体现，既强调决策事项应当经决策机关常务会议或者全体会议等法定形式审议讨论，又坚持首长负责制，规定由行政首长在集体讨论的基础上作出决定。《规定》还明确了集体讨论应当提交的材料、提交讨论的流程、列席单位和决策公布等内容。</w:t>
      </w:r>
    </w:p>
    <w:p>
      <w:pPr>
        <w:ind w:firstLine="640" w:firstLineChars="200"/>
        <w:rPr>
          <w:rFonts w:ascii="仿宋" w:hAnsi="仿宋" w:eastAsia="仿宋" w:cs="仿宋"/>
          <w:sz w:val="32"/>
          <w:szCs w:val="32"/>
        </w:rPr>
      </w:pPr>
      <w:r>
        <w:rPr>
          <w:rFonts w:hint="eastAsia" w:ascii="楷体" w:hAnsi="楷体" w:eastAsia="楷体" w:cs="楷体"/>
          <w:sz w:val="32"/>
          <w:szCs w:val="32"/>
        </w:rPr>
        <w:t>五是关于决策执行与实施后评估。</w:t>
      </w:r>
      <w:r>
        <w:rPr>
          <w:rFonts w:hint="eastAsia" w:ascii="仿宋" w:hAnsi="仿宋" w:eastAsia="仿宋" w:cs="仿宋"/>
          <w:sz w:val="32"/>
          <w:szCs w:val="32"/>
        </w:rPr>
        <w:t>为了保证决策执行、及时发现决策偏差、提高决策纠错效果，《规定》明确了对决策执行单位的要求，确定了决策执行监督和决策执行中止与调整程序，对决策实施后评估制度作了具体规定，明确了评估对象、评估主体、评估程序及内容、评估结果运用等内容。</w:t>
      </w:r>
    </w:p>
    <w:p>
      <w:pPr>
        <w:ind w:firstLine="640" w:firstLineChars="200"/>
        <w:rPr>
          <w:rFonts w:ascii="仿宋" w:hAnsi="仿宋" w:eastAsia="仿宋" w:cs="仿宋"/>
          <w:sz w:val="32"/>
          <w:szCs w:val="32"/>
        </w:rPr>
      </w:pPr>
      <w:r>
        <w:rPr>
          <w:rFonts w:hint="eastAsia" w:ascii="楷体" w:hAnsi="楷体" w:eastAsia="楷体" w:cs="楷体"/>
          <w:sz w:val="32"/>
          <w:szCs w:val="32"/>
        </w:rPr>
        <w:t>六是关于法律责任。</w:t>
      </w:r>
      <w:r>
        <w:rPr>
          <w:rFonts w:hint="eastAsia" w:ascii="仿宋" w:hAnsi="仿宋" w:eastAsia="仿宋" w:cs="仿宋"/>
          <w:sz w:val="32"/>
          <w:szCs w:val="32"/>
        </w:rPr>
        <w:t>《规定》严格决策责任追究，规定决策机关应当建立重大行政决策终身责任追究制度及责任倒查机制，并对决策过程中的各类主体，包括决策机关、决策承办单位、决策执行单位、受委托单位等，分别规定了相应的法律责任。</w:t>
      </w:r>
    </w:p>
    <w:p>
      <w:pPr>
        <w:ind w:firstLine="640" w:firstLineChars="200"/>
        <w:rPr>
          <w:rFonts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4211918"/>
      <w:docPartObj>
        <w:docPartGallery w:val="autotext"/>
      </w:docPartObj>
    </w:sdtPr>
    <w:sdtContent>
      <w:p>
        <w:pPr>
          <w:pStyle w:val="2"/>
          <w:jc w:val="center"/>
        </w:pPr>
        <w:r>
          <w:fldChar w:fldCharType="begin"/>
        </w:r>
        <w:r>
          <w:instrText xml:space="preserve">PAGE   \* MERGEFORMAT</w:instrText>
        </w:r>
        <w:r>
          <w:fldChar w:fldCharType="separate"/>
        </w:r>
        <w:r>
          <w:rPr>
            <w:lang w:val="zh-CN"/>
          </w:rPr>
          <w:t>6</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639A1C"/>
    <w:multiLevelType w:val="singleLevel"/>
    <w:tmpl w:val="EB639A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90B5A"/>
    <w:rsid w:val="000410EA"/>
    <w:rsid w:val="00212D67"/>
    <w:rsid w:val="00A61A46"/>
    <w:rsid w:val="00B901F1"/>
    <w:rsid w:val="00C71EF8"/>
    <w:rsid w:val="01115E4F"/>
    <w:rsid w:val="01713DAF"/>
    <w:rsid w:val="02D51A05"/>
    <w:rsid w:val="032A55A8"/>
    <w:rsid w:val="04320D20"/>
    <w:rsid w:val="044665BD"/>
    <w:rsid w:val="059B5DC2"/>
    <w:rsid w:val="05D0707A"/>
    <w:rsid w:val="05D27ED4"/>
    <w:rsid w:val="05DB7267"/>
    <w:rsid w:val="05FE2FE3"/>
    <w:rsid w:val="064F5D5C"/>
    <w:rsid w:val="07CF2212"/>
    <w:rsid w:val="080C6C52"/>
    <w:rsid w:val="0A1D483C"/>
    <w:rsid w:val="0C152372"/>
    <w:rsid w:val="0C1A225E"/>
    <w:rsid w:val="0C385333"/>
    <w:rsid w:val="0C646201"/>
    <w:rsid w:val="0D821A05"/>
    <w:rsid w:val="111A16FA"/>
    <w:rsid w:val="11945BFF"/>
    <w:rsid w:val="11B4360E"/>
    <w:rsid w:val="11B617E0"/>
    <w:rsid w:val="12210274"/>
    <w:rsid w:val="122A203B"/>
    <w:rsid w:val="124D050B"/>
    <w:rsid w:val="12AA30EE"/>
    <w:rsid w:val="12B619C5"/>
    <w:rsid w:val="130E77A7"/>
    <w:rsid w:val="13EF1882"/>
    <w:rsid w:val="16A21420"/>
    <w:rsid w:val="17372E22"/>
    <w:rsid w:val="182D7047"/>
    <w:rsid w:val="18E808A9"/>
    <w:rsid w:val="18F853A5"/>
    <w:rsid w:val="19B0671A"/>
    <w:rsid w:val="19EC3D99"/>
    <w:rsid w:val="1A1D1591"/>
    <w:rsid w:val="1A8433FB"/>
    <w:rsid w:val="1AE91A1B"/>
    <w:rsid w:val="1AF17C82"/>
    <w:rsid w:val="1BEA62C9"/>
    <w:rsid w:val="1C1B0DDB"/>
    <w:rsid w:val="1D1D08B6"/>
    <w:rsid w:val="1D4465CA"/>
    <w:rsid w:val="1D60702C"/>
    <w:rsid w:val="1D751058"/>
    <w:rsid w:val="1DAE3435"/>
    <w:rsid w:val="1DD11957"/>
    <w:rsid w:val="1F35521F"/>
    <w:rsid w:val="200A7B6D"/>
    <w:rsid w:val="201305F7"/>
    <w:rsid w:val="2108152D"/>
    <w:rsid w:val="21821E24"/>
    <w:rsid w:val="22CB7537"/>
    <w:rsid w:val="22E30EF1"/>
    <w:rsid w:val="230713B8"/>
    <w:rsid w:val="235E4287"/>
    <w:rsid w:val="2426073A"/>
    <w:rsid w:val="247169D3"/>
    <w:rsid w:val="25477A7F"/>
    <w:rsid w:val="25FE64A0"/>
    <w:rsid w:val="265A1B3D"/>
    <w:rsid w:val="2696324D"/>
    <w:rsid w:val="27537794"/>
    <w:rsid w:val="291E67E0"/>
    <w:rsid w:val="2BD62E67"/>
    <w:rsid w:val="2CB87F6F"/>
    <w:rsid w:val="2CEA4977"/>
    <w:rsid w:val="2D115BB4"/>
    <w:rsid w:val="2D1972CA"/>
    <w:rsid w:val="2D593959"/>
    <w:rsid w:val="2E223709"/>
    <w:rsid w:val="2EAF69F4"/>
    <w:rsid w:val="2F1904B4"/>
    <w:rsid w:val="2F8C48D4"/>
    <w:rsid w:val="30044CCB"/>
    <w:rsid w:val="30193915"/>
    <w:rsid w:val="30942D3F"/>
    <w:rsid w:val="3186473C"/>
    <w:rsid w:val="31FA329C"/>
    <w:rsid w:val="322508B2"/>
    <w:rsid w:val="324054A9"/>
    <w:rsid w:val="331877C6"/>
    <w:rsid w:val="33DD0637"/>
    <w:rsid w:val="35B30096"/>
    <w:rsid w:val="36811E78"/>
    <w:rsid w:val="368703EA"/>
    <w:rsid w:val="3758443F"/>
    <w:rsid w:val="37E67E2C"/>
    <w:rsid w:val="382C0A39"/>
    <w:rsid w:val="38961353"/>
    <w:rsid w:val="38EF20AA"/>
    <w:rsid w:val="391641D9"/>
    <w:rsid w:val="39B01E4C"/>
    <w:rsid w:val="39EC2C06"/>
    <w:rsid w:val="3A4C65B5"/>
    <w:rsid w:val="3A5E7610"/>
    <w:rsid w:val="3ADC368E"/>
    <w:rsid w:val="3D38303F"/>
    <w:rsid w:val="3D474CC2"/>
    <w:rsid w:val="3E683CAC"/>
    <w:rsid w:val="3EEE6A06"/>
    <w:rsid w:val="3FAB6BD1"/>
    <w:rsid w:val="4027792A"/>
    <w:rsid w:val="40544EC3"/>
    <w:rsid w:val="40B316E3"/>
    <w:rsid w:val="41456053"/>
    <w:rsid w:val="415E0C9A"/>
    <w:rsid w:val="419D6102"/>
    <w:rsid w:val="41A71033"/>
    <w:rsid w:val="425D4162"/>
    <w:rsid w:val="428E5E8F"/>
    <w:rsid w:val="44BA4BE5"/>
    <w:rsid w:val="44C011AC"/>
    <w:rsid w:val="44ED0B3A"/>
    <w:rsid w:val="45085838"/>
    <w:rsid w:val="4516152D"/>
    <w:rsid w:val="45212C8D"/>
    <w:rsid w:val="459C6949"/>
    <w:rsid w:val="45B91630"/>
    <w:rsid w:val="46067233"/>
    <w:rsid w:val="460959C2"/>
    <w:rsid w:val="46A816A7"/>
    <w:rsid w:val="46E86D9A"/>
    <w:rsid w:val="47D9109C"/>
    <w:rsid w:val="48596C73"/>
    <w:rsid w:val="4929166F"/>
    <w:rsid w:val="496B643B"/>
    <w:rsid w:val="498B1A87"/>
    <w:rsid w:val="4A7534FE"/>
    <w:rsid w:val="4AAC5E72"/>
    <w:rsid w:val="4B241512"/>
    <w:rsid w:val="4B31415A"/>
    <w:rsid w:val="4BF33124"/>
    <w:rsid w:val="4BF42AB0"/>
    <w:rsid w:val="4C4F6035"/>
    <w:rsid w:val="4C7B3CCA"/>
    <w:rsid w:val="4CB139FB"/>
    <w:rsid w:val="4CD4497B"/>
    <w:rsid w:val="4D0574EA"/>
    <w:rsid w:val="4E1D3EC3"/>
    <w:rsid w:val="4F3B5C68"/>
    <w:rsid w:val="4F547A0A"/>
    <w:rsid w:val="4FD33BF5"/>
    <w:rsid w:val="503F1AF8"/>
    <w:rsid w:val="505A3DFB"/>
    <w:rsid w:val="51C34F9B"/>
    <w:rsid w:val="52651D98"/>
    <w:rsid w:val="52DE679F"/>
    <w:rsid w:val="55F50CB4"/>
    <w:rsid w:val="5665235C"/>
    <w:rsid w:val="586C0B1B"/>
    <w:rsid w:val="58CE4048"/>
    <w:rsid w:val="59C60179"/>
    <w:rsid w:val="5A7E30DF"/>
    <w:rsid w:val="5BA84689"/>
    <w:rsid w:val="5BDF14B8"/>
    <w:rsid w:val="5C6A3432"/>
    <w:rsid w:val="5CBE3E2A"/>
    <w:rsid w:val="5D25589F"/>
    <w:rsid w:val="5D2D0250"/>
    <w:rsid w:val="5D8171D6"/>
    <w:rsid w:val="5F4C44A0"/>
    <w:rsid w:val="5FBD083D"/>
    <w:rsid w:val="6083244B"/>
    <w:rsid w:val="60890B5A"/>
    <w:rsid w:val="613416C7"/>
    <w:rsid w:val="622B5183"/>
    <w:rsid w:val="6260263F"/>
    <w:rsid w:val="6320104C"/>
    <w:rsid w:val="63DF62A1"/>
    <w:rsid w:val="64D47B91"/>
    <w:rsid w:val="65BA5125"/>
    <w:rsid w:val="685C270B"/>
    <w:rsid w:val="69026975"/>
    <w:rsid w:val="69744945"/>
    <w:rsid w:val="69F25A6D"/>
    <w:rsid w:val="6AA97B5F"/>
    <w:rsid w:val="6D207AB1"/>
    <w:rsid w:val="6D8B40B6"/>
    <w:rsid w:val="6E5D747D"/>
    <w:rsid w:val="6E9349E5"/>
    <w:rsid w:val="6ECF39E0"/>
    <w:rsid w:val="6F2172A8"/>
    <w:rsid w:val="6FE772FF"/>
    <w:rsid w:val="70A16859"/>
    <w:rsid w:val="70C207D2"/>
    <w:rsid w:val="70F55598"/>
    <w:rsid w:val="7199763E"/>
    <w:rsid w:val="72A36839"/>
    <w:rsid w:val="72D04EA0"/>
    <w:rsid w:val="73ED3438"/>
    <w:rsid w:val="74B849C6"/>
    <w:rsid w:val="74E74310"/>
    <w:rsid w:val="75860763"/>
    <w:rsid w:val="75C769A6"/>
    <w:rsid w:val="75F70C7D"/>
    <w:rsid w:val="7721661A"/>
    <w:rsid w:val="775C0475"/>
    <w:rsid w:val="777603AD"/>
    <w:rsid w:val="77B1791B"/>
    <w:rsid w:val="785A169A"/>
    <w:rsid w:val="7860258E"/>
    <w:rsid w:val="78A32B89"/>
    <w:rsid w:val="7AB560D3"/>
    <w:rsid w:val="7B2067A5"/>
    <w:rsid w:val="7B486FCE"/>
    <w:rsid w:val="7D131F66"/>
    <w:rsid w:val="7D866151"/>
    <w:rsid w:val="7D977F53"/>
    <w:rsid w:val="7DD358B1"/>
    <w:rsid w:val="7E567587"/>
    <w:rsid w:val="7F4B4832"/>
    <w:rsid w:val="7F747C31"/>
    <w:rsid w:val="7FEC4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6"/>
    <w:qFormat/>
    <w:uiPriority w:val="99"/>
    <w:pPr>
      <w:tabs>
        <w:tab w:val="center" w:pos="4153"/>
        <w:tab w:val="right" w:pos="8306"/>
      </w:tabs>
      <w:snapToGrid w:val="0"/>
      <w:jc w:val="left"/>
    </w:pPr>
    <w:rPr>
      <w:sz w:val="18"/>
      <w:szCs w:val="18"/>
    </w:rPr>
  </w:style>
  <w:style w:type="paragraph" w:styleId="3">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333333"/>
      <w:u w:val="none"/>
    </w:rPr>
  </w:style>
  <w:style w:type="character" w:styleId="7">
    <w:name w:val="Hyperlink"/>
    <w:basedOn w:val="5"/>
    <w:qFormat/>
    <w:uiPriority w:val="0"/>
    <w:rPr>
      <w:color w:val="333333"/>
      <w:u w:val="none"/>
    </w:rPr>
  </w:style>
  <w:style w:type="character" w:customStyle="1" w:styleId="8">
    <w:name w:val="calendar-head__next-range-btn"/>
    <w:basedOn w:val="5"/>
    <w:qFormat/>
    <w:uiPriority w:val="0"/>
    <w:rPr>
      <w:vanish/>
    </w:rPr>
  </w:style>
  <w:style w:type="character" w:customStyle="1" w:styleId="9">
    <w:name w:val="calendar-head__prev-range-btn"/>
    <w:basedOn w:val="5"/>
    <w:qFormat/>
    <w:uiPriority w:val="0"/>
    <w:rPr>
      <w:vanish/>
    </w:rPr>
  </w:style>
  <w:style w:type="character" w:customStyle="1" w:styleId="10">
    <w:name w:val="calendar-head__next-year-btn"/>
    <w:basedOn w:val="5"/>
    <w:qFormat/>
    <w:uiPriority w:val="0"/>
  </w:style>
  <w:style w:type="character" w:customStyle="1" w:styleId="11">
    <w:name w:val="calendar-head__text-display"/>
    <w:basedOn w:val="5"/>
    <w:qFormat/>
    <w:uiPriority w:val="0"/>
    <w:rPr>
      <w:vanish/>
    </w:rPr>
  </w:style>
  <w:style w:type="character" w:customStyle="1" w:styleId="12">
    <w:name w:val="calendar-head__next-month-btn"/>
    <w:basedOn w:val="5"/>
    <w:qFormat/>
    <w:uiPriority w:val="0"/>
  </w:style>
  <w:style w:type="character" w:customStyle="1" w:styleId="13">
    <w:name w:val="hover"/>
    <w:basedOn w:val="5"/>
    <w:qFormat/>
    <w:uiPriority w:val="0"/>
    <w:rPr>
      <w:color w:val="2F6EA2"/>
    </w:rPr>
  </w:style>
  <w:style w:type="character" w:customStyle="1" w:styleId="14">
    <w:name w:val="calendar-head__year-range"/>
    <w:basedOn w:val="5"/>
    <w:qFormat/>
    <w:uiPriority w:val="0"/>
    <w:rPr>
      <w:vanish/>
    </w:rPr>
  </w:style>
  <w:style w:type="character" w:customStyle="1" w:styleId="15">
    <w:name w:val="页眉 Char"/>
    <w:basedOn w:val="5"/>
    <w:link w:val="3"/>
    <w:uiPriority w:val="0"/>
    <w:rPr>
      <w:rFonts w:asciiTheme="minorHAnsi" w:hAnsiTheme="minorHAnsi" w:eastAsiaTheme="minorEastAsia" w:cstheme="minorBidi"/>
      <w:kern w:val="2"/>
      <w:sz w:val="18"/>
      <w:szCs w:val="18"/>
    </w:rPr>
  </w:style>
  <w:style w:type="character" w:customStyle="1" w:styleId="16">
    <w:name w:val="页脚 Char"/>
    <w:basedOn w:val="5"/>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173AC1-C1D1-4379-8B46-AD01C8D760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384</Words>
  <Characters>2189</Characters>
  <Lines>18</Lines>
  <Paragraphs>5</Paragraphs>
  <TotalTime>1</TotalTime>
  <ScaleCrop>false</ScaleCrop>
  <LinksUpToDate>false</LinksUpToDate>
  <CharactersWithSpaces>2568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2020-09-02T03:51:00Z</dcterms:created>
  <dc:creator>「花儿」</dc:creator>
  <cp:lastModifiedBy>「花儿」</cp:lastModifiedBy>
  <cp:lastPrinted>2020-09-16T08:46:00Z</cp:lastPrinted>
  <dcterms:modified xsi:type="dcterms:W3CDTF">2020-09-17T01:32:11Z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