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spacing w:line="576" w:lineRule="exact"/>
        <w:jc w:val="left"/>
        <w:rPr>
          <w:rFonts w:asciiTheme="majorEastAsia" w:eastAsiaTheme="majorEastAsia" w:hAnsiTheme="majorEastAsia"/>
          <w:bCs/>
          <w:color w:val="000000"/>
          <w:kern w:val="0"/>
          <w:sz w:val="28"/>
          <w:szCs w:val="28"/>
        </w:rPr>
      </w:pPr>
      <w:r>
        <w:rPr>
          <w:rFonts w:asciiTheme="majorEastAsia" w:eastAsiaTheme="majorEastAsia" w:hAnsiTheme="majorEastAsia" w:hint="eastAsia"/>
          <w:bCs/>
          <w:color w:val="000000"/>
          <w:kern w:val="0"/>
          <w:sz w:val="28"/>
          <w:szCs w:val="28"/>
        </w:rPr>
        <w:t>附件2</w:t>
      </w:r>
    </w:p>
    <w:p>
      <w:pPr>
        <w:spacing w:line="576" w:lineRule="exact"/>
        <w:jc w:val="center"/>
        <w:rPr>
          <w:rFonts w:ascii="仿宋_GB2312" w:hAnsi="华文中宋"/>
          <w:b/>
          <w:color w:val="000000"/>
          <w:kern w:val="0"/>
          <w:sz w:val="36"/>
          <w:szCs w:val="36"/>
        </w:rPr>
      </w:pPr>
      <w:r>
        <w:rPr>
          <w:rFonts w:ascii="仿宋_GB2312" w:hAnsi="华文中宋" w:hint="eastAsia"/>
          <w:b/>
          <w:color w:val="000000"/>
          <w:kern w:val="0"/>
          <w:sz w:val="36"/>
          <w:szCs w:val="36"/>
        </w:rPr>
        <w:t>广东省非营利组织</w:t>
      </w:r>
      <w:r>
        <w:rPr>
          <w:color w:val="000000"/>
          <w:szCs w:val="32"/>
        </w:rPr>
        <w:t>____</w:t>
      </w:r>
      <w:r>
        <w:rPr>
          <w:rFonts w:ascii="仿宋_GB2312" w:hAnsi="华文中宋" w:hint="eastAsia"/>
          <w:b/>
          <w:color w:val="000000"/>
          <w:kern w:val="0"/>
          <w:sz w:val="36"/>
          <w:szCs w:val="36"/>
        </w:rPr>
        <w:t>年度免税资格申请表</w:t>
      </w:r>
    </w:p>
    <w:tbl>
      <w:tblPr>
        <w:tblStyle w:val="TableNormal"/>
        <w:tblW w:w="0" w:type="auto"/>
        <w:tblInd w:w="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798"/>
        <w:gridCol w:w="1357"/>
        <w:gridCol w:w="639"/>
        <w:gridCol w:w="1417"/>
        <w:gridCol w:w="384"/>
        <w:gridCol w:w="1034"/>
        <w:gridCol w:w="946"/>
        <w:gridCol w:w="527"/>
        <w:gridCol w:w="72"/>
        <w:gridCol w:w="1546"/>
      </w:tblGrid>
      <w:tr>
        <w:tblPrEx>
          <w:tblW w:w="0" w:type="auto"/>
          <w:tblInd w:w="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hRule="exact" w:val="607"/>
        </w:trPr>
        <w:tc>
          <w:tcPr>
            <w:tcW w:w="1798" w:type="dxa"/>
            <w:tcBorders>
              <w:top w:val="thinThickSmallGap" w:sz="12" w:space="0" w:color="auto"/>
              <w:left w:val="thinThickSmallGap" w:sz="12"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Cs w:val="21"/>
              </w:rPr>
              <w:t>非营利组织</w:t>
            </w:r>
            <w:r>
              <w:rPr>
                <w:rFonts w:ascii="仿宋_GB2312" w:hAnsi="仿宋_GB2312" w:cs="仿宋_GB2312" w:hint="eastAsia"/>
                <w:color w:val="000000"/>
                <w:kern w:val="0"/>
                <w:sz w:val="24"/>
              </w:rPr>
              <w:t>名称</w:t>
            </w:r>
          </w:p>
        </w:tc>
        <w:tc>
          <w:tcPr>
            <w:tcW w:w="1996" w:type="dxa"/>
            <w:gridSpan w:val="2"/>
            <w:tcBorders>
              <w:top w:val="thinThickSmallGap" w:sz="12"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p>
        </w:tc>
        <w:tc>
          <w:tcPr>
            <w:tcW w:w="1417" w:type="dxa"/>
            <w:tcBorders>
              <w:top w:val="thinThickSmallGap" w:sz="12"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统一社会</w:t>
            </w:r>
          </w:p>
          <w:p>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信用代码</w:t>
            </w:r>
          </w:p>
        </w:tc>
        <w:tc>
          <w:tcPr>
            <w:tcW w:w="1418" w:type="dxa"/>
            <w:gridSpan w:val="2"/>
            <w:tcBorders>
              <w:top w:val="thinThickSmallGap" w:sz="12"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p>
        </w:tc>
        <w:tc>
          <w:tcPr>
            <w:tcW w:w="1545" w:type="dxa"/>
            <w:gridSpan w:val="3"/>
            <w:tcBorders>
              <w:top w:val="thinThickSmallGap" w:sz="12"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Cs w:val="21"/>
              </w:rPr>
              <w:t>设立登记</w:t>
            </w:r>
            <w:r>
              <w:rPr>
                <w:rFonts w:ascii="仿宋_GB2312" w:hAnsi="仿宋_GB2312" w:cs="仿宋_GB2312" w:hint="eastAsia"/>
                <w:color w:val="000000"/>
                <w:kern w:val="0"/>
                <w:sz w:val="24"/>
              </w:rPr>
              <w:t>时间</w:t>
            </w:r>
          </w:p>
        </w:tc>
        <w:tc>
          <w:tcPr>
            <w:tcW w:w="1546" w:type="dxa"/>
            <w:tcBorders>
              <w:top w:val="thinThickSmallGap" w:sz="12" w:space="0" w:color="auto"/>
              <w:left w:val="single" w:sz="6" w:space="0" w:color="auto"/>
              <w:bottom w:val="single" w:sz="6" w:space="0" w:color="auto"/>
              <w:right w:val="thinThickSmallGap" w:sz="12" w:space="0" w:color="auto"/>
            </w:tcBorders>
            <w:vAlign w:val="center"/>
          </w:tcPr>
          <w:p>
            <w:pPr>
              <w:spacing w:line="240" w:lineRule="exact"/>
              <w:rPr>
                <w:rFonts w:ascii="仿宋_GB2312" w:hAnsi="仿宋_GB2312" w:cs="仿宋_GB2312"/>
                <w:color w:val="000000"/>
                <w:kern w:val="0"/>
                <w:sz w:val="24"/>
              </w:rPr>
            </w:pPr>
          </w:p>
        </w:tc>
      </w:tr>
      <w:tr>
        <w:tblPrEx>
          <w:tblW w:w="0" w:type="auto"/>
          <w:tblInd w:w="0" w:type="dxa"/>
          <w:tblLayout w:type="fixed"/>
          <w:tblCellMar>
            <w:top w:w="0" w:type="dxa"/>
            <w:left w:w="108" w:type="dxa"/>
            <w:bottom w:w="0" w:type="dxa"/>
            <w:right w:w="108" w:type="dxa"/>
          </w:tblCellMar>
        </w:tblPrEx>
        <w:trPr>
          <w:trHeight w:hRule="exact" w:val="292"/>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登记管理机关</w:t>
            </w:r>
          </w:p>
        </w:tc>
        <w:tc>
          <w:tcPr>
            <w:tcW w:w="3797" w:type="dxa"/>
            <w:gridSpan w:val="4"/>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spacing w:val="-10"/>
                <w:kern w:val="0"/>
                <w:sz w:val="24"/>
              </w:rPr>
            </w:pPr>
            <w:r>
              <w:rPr>
                <w:rFonts w:ascii="仿宋_GB2312" w:hAnsi="仿宋_GB2312" w:cs="仿宋_GB2312" w:hint="eastAsia"/>
                <w:color w:val="000000"/>
                <w:spacing w:val="-10"/>
                <w:kern w:val="0"/>
                <w:sz w:val="24"/>
              </w:rPr>
              <w:t>业务主管单位</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pPr>
              <w:spacing w:line="240" w:lineRule="exact"/>
              <w:rPr>
                <w:rFonts w:ascii="仿宋_GB2312" w:hAnsi="仿宋_GB2312" w:cs="仿宋_GB2312"/>
                <w:color w:val="000000"/>
                <w:kern w:val="0"/>
                <w:sz w:val="24"/>
              </w:rPr>
            </w:pPr>
          </w:p>
        </w:tc>
      </w:tr>
      <w:tr>
        <w:tblPrEx>
          <w:tblW w:w="0" w:type="auto"/>
          <w:tblInd w:w="0" w:type="dxa"/>
          <w:tblLayout w:type="fixed"/>
          <w:tblCellMar>
            <w:top w:w="0" w:type="dxa"/>
            <w:left w:w="108" w:type="dxa"/>
            <w:bottom w:w="0" w:type="dxa"/>
            <w:right w:w="108" w:type="dxa"/>
          </w:tblCellMar>
        </w:tblPrEx>
        <w:trPr>
          <w:trHeight w:hRule="exact" w:val="397"/>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法定代表人</w:t>
            </w:r>
          </w:p>
        </w:tc>
        <w:tc>
          <w:tcPr>
            <w:tcW w:w="3797" w:type="dxa"/>
            <w:gridSpan w:val="4"/>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联系电话</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pPr>
              <w:spacing w:line="240" w:lineRule="exact"/>
              <w:rPr>
                <w:rFonts w:ascii="仿宋_GB2312" w:hAnsi="仿宋_GB2312" w:cs="仿宋_GB2312"/>
                <w:color w:val="000000"/>
                <w:kern w:val="0"/>
                <w:sz w:val="24"/>
              </w:rPr>
            </w:pPr>
          </w:p>
        </w:tc>
      </w:tr>
      <w:tr>
        <w:tblPrEx>
          <w:tblW w:w="0" w:type="auto"/>
          <w:tblInd w:w="0" w:type="dxa"/>
          <w:tblLayout w:type="fixed"/>
          <w:tblCellMar>
            <w:top w:w="0" w:type="dxa"/>
            <w:left w:w="108" w:type="dxa"/>
            <w:bottom w:w="0" w:type="dxa"/>
            <w:right w:w="108" w:type="dxa"/>
          </w:tblCellMar>
        </w:tblPrEx>
        <w:trPr>
          <w:trHeight w:hRule="exact" w:val="277"/>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地  址</w:t>
            </w:r>
          </w:p>
        </w:tc>
        <w:tc>
          <w:tcPr>
            <w:tcW w:w="3797" w:type="dxa"/>
            <w:gridSpan w:val="4"/>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邮政编码</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pPr>
              <w:spacing w:line="240" w:lineRule="exact"/>
              <w:rPr>
                <w:rFonts w:ascii="仿宋_GB2312" w:hAnsi="仿宋_GB2312" w:cs="仿宋_GB2312"/>
                <w:color w:val="000000"/>
                <w:kern w:val="0"/>
                <w:sz w:val="24"/>
              </w:rPr>
            </w:pPr>
          </w:p>
        </w:tc>
      </w:tr>
      <w:tr>
        <w:tblPrEx>
          <w:tblW w:w="0" w:type="auto"/>
          <w:tblInd w:w="0" w:type="dxa"/>
          <w:tblLayout w:type="fixed"/>
          <w:tblCellMar>
            <w:top w:w="0" w:type="dxa"/>
            <w:left w:w="108" w:type="dxa"/>
            <w:bottom w:w="0" w:type="dxa"/>
            <w:right w:w="108" w:type="dxa"/>
          </w:tblCellMar>
        </w:tblPrEx>
        <w:trPr>
          <w:trHeight w:hRule="exact" w:val="265"/>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宗　　旨</w:t>
            </w:r>
          </w:p>
        </w:tc>
        <w:tc>
          <w:tcPr>
            <w:tcW w:w="7922" w:type="dxa"/>
            <w:gridSpan w:val="9"/>
            <w:tcBorders>
              <w:top w:val="single" w:sz="6" w:space="0" w:color="auto"/>
              <w:left w:val="single" w:sz="6" w:space="0" w:color="auto"/>
              <w:bottom w:val="single" w:sz="6" w:space="0" w:color="auto"/>
              <w:right w:val="thinThickSmallGap" w:sz="12" w:space="0" w:color="auto"/>
            </w:tcBorders>
          </w:tcPr>
          <w:p>
            <w:pPr>
              <w:snapToGrid w:val="0"/>
              <w:spacing w:line="240" w:lineRule="exact"/>
              <w:rPr>
                <w:rFonts w:ascii="仿宋_GB2312" w:hAnsi="仿宋_GB2312" w:cs="仿宋_GB2312"/>
                <w:color w:val="000000"/>
                <w:kern w:val="0"/>
                <w:sz w:val="24"/>
              </w:rPr>
            </w:pPr>
          </w:p>
        </w:tc>
      </w:tr>
      <w:tr>
        <w:tblPrEx>
          <w:tblW w:w="0" w:type="auto"/>
          <w:tblInd w:w="0" w:type="dxa"/>
          <w:tblLayout w:type="fixed"/>
          <w:tblCellMar>
            <w:top w:w="0" w:type="dxa"/>
            <w:left w:w="108" w:type="dxa"/>
            <w:bottom w:w="0" w:type="dxa"/>
            <w:right w:w="108" w:type="dxa"/>
          </w:tblCellMar>
        </w:tblPrEx>
        <w:trPr>
          <w:trHeight w:hRule="exact" w:val="358"/>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业务范围</w:t>
            </w:r>
          </w:p>
        </w:tc>
        <w:tc>
          <w:tcPr>
            <w:tcW w:w="7922" w:type="dxa"/>
            <w:gridSpan w:val="9"/>
            <w:tcBorders>
              <w:top w:val="single" w:sz="6" w:space="0" w:color="auto"/>
              <w:left w:val="single" w:sz="6" w:space="0" w:color="auto"/>
              <w:bottom w:val="single" w:sz="6" w:space="0" w:color="auto"/>
              <w:right w:val="thinThickSmallGap" w:sz="12" w:space="0" w:color="auto"/>
            </w:tcBorders>
          </w:tcPr>
          <w:p>
            <w:pPr>
              <w:snapToGrid w:val="0"/>
              <w:spacing w:line="240" w:lineRule="exact"/>
              <w:rPr>
                <w:rFonts w:ascii="仿宋_GB2312" w:hAnsi="仿宋_GB2312" w:cs="仿宋_GB2312"/>
                <w:color w:val="000000"/>
                <w:kern w:val="0"/>
                <w:sz w:val="24"/>
              </w:rPr>
            </w:pPr>
          </w:p>
        </w:tc>
      </w:tr>
      <w:tr>
        <w:tblPrEx>
          <w:tblW w:w="0" w:type="auto"/>
          <w:tblInd w:w="0" w:type="dxa"/>
          <w:tblLayout w:type="fixed"/>
          <w:tblCellMar>
            <w:top w:w="0" w:type="dxa"/>
            <w:left w:w="108" w:type="dxa"/>
            <w:bottom w:w="0" w:type="dxa"/>
            <w:right w:w="108" w:type="dxa"/>
          </w:tblCellMar>
        </w:tblPrEx>
        <w:trPr>
          <w:trHeight w:hRule="exact" w:val="397"/>
        </w:trPr>
        <w:tc>
          <w:tcPr>
            <w:tcW w:w="1798" w:type="dxa"/>
            <w:vMerge w:val="restart"/>
            <w:tcBorders>
              <w:top w:val="single" w:sz="6" w:space="0" w:color="auto"/>
              <w:left w:val="thinThickSmallGap" w:sz="12" w:space="0" w:color="auto"/>
              <w:bottom w:val="single" w:sz="6" w:space="0" w:color="auto"/>
              <w:right w:val="single" w:sz="6" w:space="0" w:color="auto"/>
            </w:tcBorders>
            <w:vAlign w:val="center"/>
          </w:tcPr>
          <w:p>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是否符合税法</w:t>
            </w:r>
          </w:p>
          <w:p>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相关规定</w:t>
            </w: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依法履行非营利组织设立或登记手续</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534"/>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从事公益性或者非营利性活动</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701"/>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取得的收入除用于与该组织有关的、合理的支出外，全部用于登记核定或者章程规定的公益性或者非营利性事业</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444"/>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财产及其孳息不用于分配，但不包括合理的工资薪金支出</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940"/>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Cs w:val="21"/>
              </w:rPr>
            </w:pPr>
            <w:r>
              <w:rPr>
                <w:rFonts w:ascii="仿宋_GB2312" w:hAnsi="仿宋_GB2312" w:cs="仿宋_GB2312" w:hint="eastAsia"/>
                <w:color w:val="000000"/>
                <w:sz w:val="24"/>
              </w:rPr>
              <w:t>按照登记核定或者章程规定，该组织注销后的剩余财产用于公益性或者非营利性目的，或者由登记管理机关采取转赠给与该组织性质、宗旨相同的组织等处置方式，并向社会公告</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789"/>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投入人对投入该组织的财产不保留或者享有任何财产权利，本款所称投入人是指除各级人民政府及其部门外的法人、自然人和其他组织</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1171"/>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工作人员工资福利开支控制在规定的比例内，不变相分配该组织的财产，其中：工作人员平均工资薪金水平不得超过税务登记所在地的地级市（含地级市）以上地区的同行业同类组织平均工资水平的两倍，工作人员福利按照国家有关规定执行</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631"/>
        </w:trPr>
        <w:tc>
          <w:tcPr>
            <w:tcW w:w="1798" w:type="dxa"/>
            <w:vMerge/>
            <w:tcBorders>
              <w:top w:val="single" w:sz="6" w:space="0" w:color="auto"/>
              <w:left w:val="thinThickSmallGap" w:sz="12" w:space="0" w:color="auto"/>
              <w:bottom w:val="single" w:sz="6" w:space="0" w:color="auto"/>
              <w:right w:val="single" w:sz="6" w:space="0" w:color="auto"/>
            </w:tcBorders>
            <w:vAlign w:val="center"/>
          </w:tcPr>
          <w:p>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对取得的应纳税收入及其有关的成本、费用、损失应与免税收入及其有关的成本、费用、损失分别核算</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  □否</w:t>
            </w:r>
          </w:p>
        </w:tc>
      </w:tr>
      <w:tr>
        <w:tblPrEx>
          <w:tblW w:w="0" w:type="auto"/>
          <w:tblInd w:w="0" w:type="dxa"/>
          <w:tblLayout w:type="fixed"/>
          <w:tblCellMar>
            <w:top w:w="0" w:type="dxa"/>
            <w:left w:w="108" w:type="dxa"/>
            <w:bottom w:w="0" w:type="dxa"/>
            <w:right w:w="108" w:type="dxa"/>
          </w:tblCellMar>
        </w:tblPrEx>
        <w:trPr>
          <w:trHeight w:hRule="exact" w:val="2106"/>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登记管理机关出具的上一年度符合相关法律法规和国家政策的事业发展情况或非营利活动的材料</w:t>
            </w:r>
          </w:p>
        </w:tc>
        <w:tc>
          <w:tcPr>
            <w:tcW w:w="1357" w:type="dxa"/>
            <w:tcBorders>
              <w:top w:val="single" w:sz="6" w:space="0" w:color="auto"/>
              <w:left w:val="single" w:sz="6" w:space="0" w:color="auto"/>
              <w:bottom w:val="single" w:sz="6" w:space="0" w:color="auto"/>
              <w:right w:val="single" w:sz="6"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u w:val="single"/>
              </w:rPr>
              <w:t xml:space="preserve">   </w:t>
            </w:r>
            <w:r>
              <w:rPr>
                <w:rFonts w:ascii="仿宋_GB2312" w:hAnsi="仿宋_GB2312" w:cs="仿宋_GB2312" w:hint="eastAsia"/>
                <w:color w:val="000000"/>
                <w:kern w:val="0"/>
                <w:sz w:val="24"/>
              </w:rPr>
              <w:t>年度</w:t>
            </w:r>
          </w:p>
        </w:tc>
        <w:tc>
          <w:tcPr>
            <w:tcW w:w="6565" w:type="dxa"/>
            <w:gridSpan w:val="8"/>
            <w:tcBorders>
              <w:top w:val="single" w:sz="6" w:space="0" w:color="auto"/>
              <w:left w:val="single" w:sz="6" w:space="0" w:color="auto"/>
              <w:bottom w:val="single" w:sz="6" w:space="0" w:color="auto"/>
              <w:right w:val="thinThickSmallGap" w:sz="12"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□符合   □基本符合   □不符合 </w:t>
            </w:r>
          </w:p>
        </w:tc>
      </w:tr>
      <w:tr>
        <w:tblPrEx>
          <w:tblW w:w="0" w:type="auto"/>
          <w:tblInd w:w="0" w:type="dxa"/>
          <w:tblLayout w:type="fixed"/>
          <w:tblCellMar>
            <w:top w:w="0" w:type="dxa"/>
            <w:left w:w="108" w:type="dxa"/>
            <w:bottom w:w="0" w:type="dxa"/>
            <w:right w:w="108" w:type="dxa"/>
          </w:tblCellMar>
        </w:tblPrEx>
        <w:trPr>
          <w:trHeight w:hRule="exact" w:val="306"/>
        </w:trPr>
        <w:tc>
          <w:tcPr>
            <w:tcW w:w="1798" w:type="dxa"/>
            <w:tcBorders>
              <w:top w:val="single" w:sz="6" w:space="0" w:color="auto"/>
              <w:left w:val="thinThickSmallGap" w:sz="12" w:space="0" w:color="auto"/>
              <w:bottom w:val="single" w:sz="6" w:space="0" w:color="auto"/>
              <w:right w:val="single" w:sz="6" w:space="0" w:color="auto"/>
            </w:tcBorders>
            <w:vAlign w:val="center"/>
          </w:tcPr>
          <w:p>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复  审</w:t>
            </w:r>
          </w:p>
        </w:tc>
        <w:tc>
          <w:tcPr>
            <w:tcW w:w="7922" w:type="dxa"/>
            <w:gridSpan w:val="9"/>
            <w:tcBorders>
              <w:top w:val="single" w:sz="6" w:space="0" w:color="auto"/>
              <w:left w:val="single" w:sz="6" w:space="0" w:color="auto"/>
              <w:bottom w:val="single" w:sz="6" w:space="0" w:color="auto"/>
              <w:right w:val="thinThickSmallGap" w:sz="12" w:space="0" w:color="auto"/>
            </w:tcBorders>
            <w:vAlign w:val="center"/>
          </w:tcPr>
          <w:p>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□五年有效期到期           □不再具备规定的免税条件的</w:t>
            </w:r>
          </w:p>
        </w:tc>
      </w:tr>
      <w:tr>
        <w:tblPrEx>
          <w:tblW w:w="0" w:type="auto"/>
          <w:tblInd w:w="0" w:type="dxa"/>
          <w:tblLayout w:type="fixed"/>
          <w:tblCellMar>
            <w:top w:w="0" w:type="dxa"/>
            <w:left w:w="108" w:type="dxa"/>
            <w:bottom w:w="0" w:type="dxa"/>
            <w:right w:w="108" w:type="dxa"/>
          </w:tblCellMar>
        </w:tblPrEx>
        <w:trPr>
          <w:trHeight w:val="1947"/>
        </w:trPr>
        <w:tc>
          <w:tcPr>
            <w:tcW w:w="9720" w:type="dxa"/>
            <w:gridSpan w:val="10"/>
            <w:tcBorders>
              <w:top w:val="single" w:sz="6" w:space="0" w:color="auto"/>
              <w:left w:val="thinThickSmallGap" w:sz="12" w:space="0" w:color="auto"/>
              <w:bottom w:val="thickThinSmallGap" w:sz="12" w:space="0" w:color="auto"/>
              <w:right w:val="thinThickSmallGap" w:sz="12" w:space="0" w:color="auto"/>
            </w:tcBorders>
          </w:tcPr>
          <w:p>
            <w:pPr>
              <w:spacing w:line="280" w:lineRule="exact"/>
              <w:rPr>
                <w:rFonts w:ascii="仿宋_GB2312" w:hAnsi="仿宋_GB2312" w:cs="仿宋_GB2312"/>
                <w:color w:val="000000"/>
                <w:kern w:val="0"/>
                <w:sz w:val="24"/>
              </w:rPr>
            </w:pPr>
          </w:p>
          <w:p>
            <w:pPr>
              <w:spacing w:line="28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    本非营利组织承诺：以上所填信息真实、准确。</w:t>
            </w:r>
          </w:p>
          <w:p>
            <w:pPr>
              <w:spacing w:line="280" w:lineRule="exact"/>
              <w:rPr>
                <w:rFonts w:ascii="仿宋_GB2312" w:hAnsi="仿宋_GB2312" w:cs="仿宋_GB2312"/>
                <w:color w:val="000000"/>
                <w:kern w:val="0"/>
                <w:sz w:val="24"/>
              </w:rPr>
            </w:pPr>
          </w:p>
          <w:p>
            <w:pPr>
              <w:spacing w:line="280" w:lineRule="exact"/>
              <w:rPr>
                <w:rFonts w:ascii="仿宋_GB2312" w:hAnsi="仿宋_GB2312" w:cs="仿宋_GB2312"/>
                <w:color w:val="000000"/>
                <w:kern w:val="0"/>
                <w:sz w:val="24"/>
              </w:rPr>
            </w:pPr>
          </w:p>
          <w:p>
            <w:pPr>
              <w:spacing w:line="280" w:lineRule="exact"/>
              <w:rPr>
                <w:rFonts w:ascii="仿宋_GB2312" w:hAnsi="仿宋_GB2312" w:cs="仿宋_GB2312"/>
                <w:color w:val="000000"/>
                <w:kern w:val="0"/>
                <w:sz w:val="24"/>
              </w:rPr>
            </w:pPr>
            <w:r>
              <w:rPr>
                <w:rFonts w:ascii="仿宋_GB2312" w:hAnsi="仿宋_GB2312" w:cs="仿宋_GB2312" w:hint="eastAsia"/>
                <w:color w:val="000000"/>
                <w:kern w:val="0"/>
                <w:sz w:val="24"/>
              </w:rPr>
              <w:t>非营利组织盖章：                                法定代表人：（签名）</w:t>
            </w:r>
          </w:p>
          <w:p>
            <w:pPr>
              <w:spacing w:line="280" w:lineRule="exact"/>
              <w:rPr>
                <w:rFonts w:ascii="仿宋_GB2312" w:hAnsi="仿宋_GB2312" w:cs="仿宋_GB2312"/>
                <w:color w:val="000000"/>
                <w:kern w:val="0"/>
                <w:sz w:val="24"/>
              </w:rPr>
            </w:pPr>
          </w:p>
          <w:p>
            <w:pPr>
              <w:spacing w:line="28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                                                           年     月      日</w:t>
            </w:r>
          </w:p>
        </w:tc>
      </w:tr>
    </w:tbl>
    <w:p>
      <w:pPr>
        <w:adjustRightInd w:val="0"/>
        <w:snapToGrid w:val="0"/>
        <w:jc w:val="left"/>
        <w:rPr>
          <w:rFonts w:ascii="仿宋_GB2312" w:hAnsi="华文中宋"/>
          <w:color w:val="000000"/>
          <w:kern w:val="0"/>
          <w:sz w:val="28"/>
          <w:szCs w:val="28"/>
        </w:rPr>
      </w:pPr>
      <w:r>
        <w:rPr>
          <w:rFonts w:ascii="仿宋_GB2312" w:hAnsi="华文中宋" w:hint="eastAsia"/>
          <w:b/>
          <w:color w:val="000000"/>
          <w:kern w:val="0"/>
          <w:sz w:val="36"/>
          <w:szCs w:val="36"/>
        </w:rPr>
        <w:t xml:space="preserve">   </w:t>
      </w:r>
      <w:r>
        <w:rPr>
          <w:rFonts w:hint="eastAsia"/>
          <w:color w:val="000000"/>
          <w:kern w:val="0"/>
          <w:sz w:val="24"/>
        </w:rPr>
        <w:t>联系人：                 联系电话：</w:t>
      </w:r>
    </w:p>
    <w:p>
      <w:pPr>
        <w:spacing w:line="576" w:lineRule="exact"/>
        <w:jc w:val="center"/>
        <w:rPr>
          <w:rFonts w:ascii="仿宋_GB2312" w:hAnsi="华文中宋"/>
          <w:b/>
          <w:color w:val="000000"/>
          <w:kern w:val="0"/>
          <w:sz w:val="44"/>
          <w:szCs w:val="44"/>
        </w:rPr>
      </w:pPr>
      <w:r>
        <w:rPr>
          <w:rFonts w:ascii="仿宋_GB2312" w:hAnsi="华文中宋" w:hint="eastAsia"/>
          <w:b/>
          <w:color w:val="000000"/>
          <w:kern w:val="0"/>
          <w:sz w:val="44"/>
          <w:szCs w:val="44"/>
        </w:rPr>
        <w:t>关于</w:t>
      </w:r>
      <w:r>
        <w:rPr>
          <w:rFonts w:ascii="仿宋_GB2312" w:hAnsi="华文中宋" w:hint="eastAsia"/>
          <w:b/>
          <w:color w:val="000000"/>
          <w:kern w:val="0"/>
          <w:sz w:val="44"/>
          <w:szCs w:val="44"/>
          <w:u w:val="single"/>
        </w:rPr>
        <w:t xml:space="preserve">        </w:t>
      </w:r>
      <w:r>
        <w:rPr>
          <w:rFonts w:ascii="仿宋_GB2312" w:hAnsi="华文中宋" w:hint="eastAsia"/>
          <w:b/>
          <w:color w:val="000000"/>
          <w:kern w:val="0"/>
          <w:sz w:val="44"/>
          <w:szCs w:val="44"/>
        </w:rPr>
        <w:t>年度免税资格认定的申请报告</w:t>
      </w:r>
    </w:p>
    <w:p>
      <w:pPr>
        <w:spacing w:line="576" w:lineRule="exact"/>
        <w:jc w:val="left"/>
        <w:rPr>
          <w:rFonts w:ascii="仿宋_GB2312" w:hAnsi="华文中宋"/>
          <w:color w:val="000000"/>
          <w:kern w:val="0"/>
          <w:sz w:val="28"/>
          <w:szCs w:val="28"/>
        </w:rPr>
      </w:pPr>
    </w:p>
    <w:p>
      <w:pPr>
        <w:spacing w:line="576" w:lineRule="exact"/>
        <w:jc w:val="left"/>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lang w:eastAsia="zh-CN"/>
        </w:rPr>
        <w:t>广东省</w:t>
      </w:r>
      <w:r>
        <w:rPr>
          <w:rFonts w:ascii="仿宋_GB2312" w:eastAsia="仿宋_GB2312" w:hAnsi="华文中宋" w:hint="eastAsia"/>
          <w:color w:val="000000"/>
          <w:kern w:val="0"/>
          <w:sz w:val="32"/>
          <w:szCs w:val="32"/>
        </w:rPr>
        <w:t>财政</w:t>
      </w:r>
      <w:r>
        <w:rPr>
          <w:rFonts w:ascii="仿宋_GB2312" w:eastAsia="仿宋_GB2312" w:hAnsi="华文中宋" w:hint="eastAsia"/>
          <w:color w:val="000000"/>
          <w:kern w:val="0"/>
          <w:sz w:val="32"/>
          <w:szCs w:val="32"/>
          <w:lang w:eastAsia="zh-CN"/>
        </w:rPr>
        <w:t>厅</w:t>
      </w:r>
      <w:r>
        <w:rPr>
          <w:rFonts w:ascii="仿宋_GB2312" w:eastAsia="仿宋_GB2312" w:hAnsi="华文中宋" w:hint="eastAsia"/>
          <w:color w:val="000000"/>
          <w:kern w:val="0"/>
          <w:sz w:val="32"/>
          <w:szCs w:val="32"/>
        </w:rPr>
        <w:t>、国家税务总局</w:t>
      </w:r>
      <w:r>
        <w:rPr>
          <w:rFonts w:ascii="仿宋_GB2312" w:eastAsia="仿宋_GB2312" w:hAnsi="华文中宋" w:hint="eastAsia"/>
          <w:color w:val="000000"/>
          <w:kern w:val="0"/>
          <w:sz w:val="32"/>
          <w:szCs w:val="32"/>
          <w:lang w:eastAsia="zh-CN"/>
        </w:rPr>
        <w:t>广东省</w:t>
      </w:r>
      <w:r>
        <w:rPr>
          <w:rFonts w:ascii="仿宋_GB2312" w:eastAsia="仿宋_GB2312" w:hAnsi="华文中宋" w:hint="eastAsia"/>
          <w:color w:val="000000"/>
          <w:kern w:val="0"/>
          <w:sz w:val="32"/>
          <w:szCs w:val="32"/>
        </w:rPr>
        <w:t>税务局：</w:t>
      </w:r>
    </w:p>
    <w:p>
      <w:pPr>
        <w:spacing w:line="576" w:lineRule="exact"/>
        <w:jc w:val="left"/>
        <w:rPr>
          <w:rFonts w:ascii="仿宋_GB2312" w:hAnsi="华文中宋"/>
          <w:color w:val="000000"/>
          <w:kern w:val="0"/>
          <w:sz w:val="28"/>
          <w:szCs w:val="28"/>
        </w:rPr>
      </w:pPr>
      <w:r>
        <w:rPr>
          <w:rFonts w:ascii="仿宋_GB2312" w:eastAsia="仿宋_GB2312" w:hAnsi="华文中宋" w:hint="eastAsia"/>
          <w:color w:val="000000"/>
          <w:kern w:val="0"/>
          <w:sz w:val="32"/>
          <w:szCs w:val="32"/>
        </w:rPr>
        <w:t xml:space="preserve">    （本会的宗旨，目前组织的状况，开展工作的简单情况以及对照财政部和税务总局出台的《关于非营利组织免税资格认定有关问题的通知》的要求，是不是符合免税资格的条件，提出免税资格的申请。）</w:t>
      </w: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spacing w:line="576" w:lineRule="exact"/>
        <w:jc w:val="left"/>
        <w:rPr>
          <w:rFonts w:ascii="仿宋_GB2312" w:hAnsi="华文中宋"/>
          <w:color w:val="000000"/>
          <w:kern w:val="0"/>
          <w:sz w:val="28"/>
          <w:szCs w:val="28"/>
        </w:rPr>
      </w:pPr>
    </w:p>
    <w:p>
      <w:pPr>
        <w:wordWrap w:val="0"/>
        <w:spacing w:line="576" w:lineRule="exact"/>
        <w:jc w:val="right"/>
        <w:rPr>
          <w:rFonts w:ascii="仿宋_GB2312" w:eastAsia="仿宋_GB2312" w:hAnsi="华文中宋"/>
          <w:color w:val="000000"/>
          <w:kern w:val="0"/>
          <w:sz w:val="32"/>
          <w:szCs w:val="32"/>
        </w:rPr>
      </w:pPr>
      <w:r>
        <w:rPr>
          <w:rFonts w:ascii="仿宋_GB2312" w:eastAsia="仿宋_GB2312" w:hAnsi="华文中宋" w:hint="eastAsia"/>
          <w:color w:val="000000"/>
          <w:kern w:val="0"/>
          <w:sz w:val="32"/>
          <w:szCs w:val="32"/>
        </w:rPr>
        <w:t xml:space="preserve">申请单位：                   </w:t>
      </w:r>
    </w:p>
    <w:p>
      <w:pPr>
        <w:spacing w:line="576" w:lineRule="exact"/>
        <w:jc w:val="right"/>
        <w:rPr>
          <w:rFonts w:ascii="仿宋_GB2312" w:eastAsia="仿宋_GB2312"/>
          <w:sz w:val="32"/>
          <w:szCs w:val="32"/>
        </w:rPr>
      </w:pPr>
      <w:r>
        <w:rPr>
          <w:rFonts w:ascii="仿宋_GB2312" w:eastAsia="仿宋_GB2312" w:hAnsi="华文中宋" w:hint="eastAsia"/>
          <w:color w:val="000000"/>
          <w:kern w:val="0"/>
          <w:sz w:val="32"/>
          <w:szCs w:val="32"/>
        </w:rPr>
        <w:t xml:space="preserve">    年    月    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bookmarkStart w:id="0" w:name="_GoBack"/>
      <w:bookmarkEnd w:id="0"/>
    </w:p>
    <w:sectPr>
      <w:headerReference w:type="default" r:id="rId5"/>
      <w:footerReference w:type="default" r:id="rId6"/>
      <w:pgSz w:w="11906" w:h="16838"/>
      <w:pgMar w:top="1440" w:right="1531" w:bottom="1440" w:left="1531"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rect id="文本框1" o:spid="_x0000_s2049" style="width:8.05pt;height:18.4pt;margin-top:0;margin-left:0;mso-height-relative:page;mso-position-horizontal:outside;mso-position-horizontal-relative:margin;mso-width-relative:page;mso-wrap-style:none;position:absolute;z-index:251658240" coordsize="21600,21600" filled="f" stroked="f">
          <v:textbox style="mso-fit-shape-to-text:t" inset="0,0,0,0">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DD"/>
    <w:rsid w:val="001A5FA2"/>
    <w:rsid w:val="005A0A3C"/>
    <w:rsid w:val="005B091A"/>
    <w:rsid w:val="00687212"/>
    <w:rsid w:val="008B6E3D"/>
    <w:rsid w:val="00957CDD"/>
    <w:rsid w:val="009C6F79"/>
    <w:rsid w:val="00C309CC"/>
    <w:rsid w:val="00DC7FB1"/>
    <w:rsid w:val="1EFD592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Pr>
      <w:kern w:val="2"/>
      <w:sz w:val="18"/>
      <w:szCs w:val="18"/>
    </w:rPr>
  </w:style>
  <w:style w:type="character" w:customStyle="1" w:styleId="Char0">
    <w:name w:val="页脚 Char"/>
    <w:basedOn w:val="DefaultParagraphFont"/>
    <w:link w:val="Foote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WwW.YlmF.CoM</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黄华协</cp:lastModifiedBy>
  <cp:revision>6</cp:revision>
  <dcterms:created xsi:type="dcterms:W3CDTF">2015-11-06T14:49:00Z</dcterms:created>
  <dcterms:modified xsi:type="dcterms:W3CDTF">2025-01-10T11:55:07Z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B426915DDE2A4BB51B9A80676F277D41</vt:lpwstr>
  </property>
  <property fmtid="{D5CDD505-2E9C-101B-9397-08002B2CF9AE}" pid="3" name="KSOProductBuildVer">
    <vt:lpwstr>2052-11.8.2.11961</vt:lpwstr>
  </property>
</Properties>
</file>