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6F" w:rsidRDefault="00060214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江门市新会公路局养护中心商品</w:t>
      </w:r>
    </w:p>
    <w:p w:rsidR="006A1B6F" w:rsidRDefault="000602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混凝土采购询价函</w:t>
      </w:r>
    </w:p>
    <w:p w:rsidR="006A1B6F" w:rsidRPr="0026552F" w:rsidRDefault="00060214">
      <w:pPr>
        <w:spacing w:line="560" w:lineRule="exact"/>
        <w:jc w:val="center"/>
        <w:rPr>
          <w:rFonts w:ascii="仿宋" w:eastAsia="仿宋" w:hAnsi="仿宋"/>
          <w:u w:val="single"/>
        </w:rPr>
      </w:pPr>
      <w:r w:rsidRPr="0026552F">
        <w:rPr>
          <w:rFonts w:ascii="仿宋" w:eastAsia="仿宋" w:hAnsi="仿宋" w:hint="eastAsia"/>
        </w:rPr>
        <w:t>询价函编号：Y20230511-1</w:t>
      </w:r>
    </w:p>
    <w:p w:rsidR="006A1B6F" w:rsidRDefault="00060214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项目概况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因我单位省道</w:t>
      </w:r>
      <w:r>
        <w:rPr>
          <w:rFonts w:ascii="仿宋" w:eastAsia="仿宋" w:hAnsi="仿宋" w:hint="eastAsia"/>
          <w:kern w:val="0"/>
          <w:sz w:val="32"/>
          <w:szCs w:val="32"/>
        </w:rPr>
        <w:t>S271线新会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段安全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提升工程</w:t>
      </w:r>
      <w:r>
        <w:rPr>
          <w:rFonts w:ascii="仿宋" w:eastAsia="仿宋" w:hAnsi="仿宋" w:hint="eastAsia"/>
          <w:sz w:val="32"/>
          <w:szCs w:val="32"/>
        </w:rPr>
        <w:t>的需要，现需采购商品混凝土。采购总价预算金额约20万元（以上费用包括税费、运输费，具体以实际结算）。</w:t>
      </w:r>
    </w:p>
    <w:p w:rsidR="006A1B6F" w:rsidRDefault="00060214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询价内容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1.C30商品混凝土。</w:t>
      </w:r>
    </w:p>
    <w:p w:rsidR="006A1B6F" w:rsidRDefault="00060214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收货地点：</w:t>
      </w:r>
      <w:r>
        <w:rPr>
          <w:rFonts w:ascii="仿宋" w:eastAsia="仿宋" w:hAnsi="仿宋" w:hint="eastAsia"/>
          <w:kern w:val="0"/>
          <w:sz w:val="32"/>
          <w:szCs w:val="32"/>
        </w:rPr>
        <w:t>省道S271线K115~K117段（新会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区崖南圩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路段）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A1B6F" w:rsidRDefault="00060214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资格要求</w:t>
      </w:r>
    </w:p>
    <w:p w:rsidR="006A1B6F" w:rsidRDefault="000602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1.满足《中华人民共和国政府采购法》第二十二条规定。</w:t>
      </w:r>
    </w:p>
    <w:p w:rsidR="006A1B6F" w:rsidRDefault="00060214">
      <w:pPr>
        <w:widowControl/>
        <w:shd w:val="clear" w:color="auto" w:fill="FFFFFF"/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　　2.具有预拌商品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砼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专业资质。</w:t>
      </w:r>
    </w:p>
    <w:p w:rsidR="006A1B6F" w:rsidRPr="0026552F" w:rsidRDefault="00060214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26552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3.无行业不良记录，需出具广东省守合同重信用企业证明及不处于中国政府采购网</w:t>
      </w:r>
      <w:r w:rsidRPr="0026552F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(http://www.ccgp.gov.cn/search/cr/)</w:t>
      </w:r>
      <w:r w:rsidRPr="0026552F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“政府采购严重违法失信行为信息记录”的名单中。</w:t>
      </w:r>
    </w:p>
    <w:p w:rsidR="006A1B6F" w:rsidRDefault="00060214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4.本项目不接受联合投标。</w:t>
      </w:r>
    </w:p>
    <w:p w:rsidR="006A1B6F" w:rsidRDefault="00060214">
      <w:pPr>
        <w:numPr>
          <w:ilvl w:val="0"/>
          <w:numId w:val="1"/>
        </w:num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报价要求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1.报价时间：</w:t>
      </w:r>
      <w:r>
        <w:rPr>
          <w:rFonts w:ascii="仿宋" w:eastAsia="仿宋" w:hAnsi="仿宋" w:hint="eastAsia"/>
          <w:kern w:val="0"/>
          <w:sz w:val="32"/>
          <w:szCs w:val="32"/>
        </w:rPr>
        <w:t>2023年5月1</w:t>
      </w:r>
      <w:r w:rsidR="008E201B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日8：00至2023年5月1</w:t>
      </w:r>
      <w:r w:rsidR="008E201B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日17：00时止（北京时间）。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报价地点：江门市新会区双水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镇基背村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五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斗村民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小组高田围江门市新会公路局养护中心。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3.报价方式：现场递交报名材料或邮寄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报价材料：</w:t>
      </w:r>
      <w:r>
        <w:rPr>
          <w:rFonts w:ascii="仿宋" w:eastAsia="仿宋" w:hAnsi="仿宋" w:hint="eastAsia"/>
          <w:kern w:val="0"/>
          <w:sz w:val="32"/>
          <w:szCs w:val="32"/>
        </w:rPr>
        <w:t>报价文件包括但不限于单位营业执照、经营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许可证、机构介绍、报价（上述表中各强度等级商品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砼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的单价应含税费、运输费）、服务承诺，报价文件需加盖公章并密封提交，否则视为无效报价。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5.材料最高限价：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（1）C30商品混凝土单价</w:t>
      </w:r>
      <w:r>
        <w:rPr>
          <w:rFonts w:ascii="仿宋" w:eastAsia="仿宋" w:hAnsi="仿宋" w:hint="eastAsia"/>
          <w:sz w:val="32"/>
          <w:szCs w:val="32"/>
        </w:rPr>
        <w:t>不得超过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430 </w:t>
      </w:r>
      <w:r>
        <w:rPr>
          <w:rFonts w:ascii="仿宋" w:eastAsia="仿宋" w:hAnsi="仿宋" w:hint="eastAsia"/>
          <w:kern w:val="0"/>
          <w:sz w:val="32"/>
          <w:szCs w:val="32"/>
        </w:rPr>
        <w:t>元/立方米。</w:t>
      </w:r>
    </w:p>
    <w:p w:rsidR="006A1B6F" w:rsidRDefault="0006021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五、确定成交供应商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采购方将综合考虑供应商的报价、经营范围、经营规模、经营业绩、进行选取。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同等条件下以低价原则确认成交供应商。</w:t>
      </w:r>
    </w:p>
    <w:p w:rsidR="006A1B6F" w:rsidRDefault="0006021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六、联系方式</w:t>
      </w:r>
    </w:p>
    <w:p w:rsidR="006A1B6F" w:rsidRDefault="00060214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联系人：谭先生</w:t>
      </w:r>
    </w:p>
    <w:p w:rsidR="006A1B6F" w:rsidRDefault="0006021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联系电话：0750—6416282</w:t>
      </w:r>
    </w:p>
    <w:p w:rsidR="006A1B6F" w:rsidRDefault="006A1B6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A1B6F" w:rsidRDefault="006A1B6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A1B6F" w:rsidRDefault="00060214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江门市新会公路局养护中心</w:t>
      </w:r>
    </w:p>
    <w:p w:rsidR="006A1B6F" w:rsidRDefault="00060214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2023年5月11日</w:t>
      </w:r>
    </w:p>
    <w:p w:rsidR="006A1B6F" w:rsidRDefault="006A1B6F">
      <w:pPr>
        <w:jc w:val="right"/>
        <w:rPr>
          <w:rFonts w:ascii="仿宋" w:eastAsia="仿宋" w:hAnsi="仿宋"/>
          <w:sz w:val="32"/>
          <w:szCs w:val="32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060214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询价函编号：Y20230511-1</w:t>
      </w:r>
    </w:p>
    <w:p w:rsidR="006A1B6F" w:rsidRDefault="006A1B6F">
      <w:pPr>
        <w:widowControl/>
        <w:jc w:val="right"/>
        <w:rPr>
          <w:rFonts w:ascii="仿宋" w:eastAsia="仿宋" w:hAnsi="仿宋"/>
          <w:sz w:val="28"/>
          <w:szCs w:val="28"/>
        </w:rPr>
      </w:pPr>
    </w:p>
    <w:p w:rsidR="006A1B6F" w:rsidRDefault="00060214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 价 单</w:t>
      </w:r>
    </w:p>
    <w:p w:rsidR="006A1B6F" w:rsidRDefault="006A1B6F">
      <w:pPr>
        <w:widowControl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A1B6F" w:rsidRDefault="0006021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报价单位（章）：</w:t>
      </w:r>
    </w:p>
    <w:p w:rsidR="006A1B6F" w:rsidRDefault="00060214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联系人： 联系电话：</w:t>
      </w:r>
    </w:p>
    <w:p w:rsidR="006A1B6F" w:rsidRDefault="006A1B6F">
      <w:pPr>
        <w:spacing w:line="360" w:lineRule="auto"/>
        <w:jc w:val="left"/>
        <w:rPr>
          <w:rFonts w:ascii="仿宋" w:eastAsia="仿宋" w:hAnsi="仿宋"/>
          <w:sz w:val="28"/>
          <w:szCs w:val="28"/>
          <w:u w:val="single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851"/>
        <w:gridCol w:w="1893"/>
      </w:tblGrid>
      <w:tr w:rsidR="006A1B6F">
        <w:tc>
          <w:tcPr>
            <w:tcW w:w="817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价</w:t>
            </w:r>
          </w:p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（元/立方米）</w:t>
            </w:r>
          </w:p>
        </w:tc>
      </w:tr>
      <w:tr w:rsidR="006A1B6F">
        <w:trPr>
          <w:trHeight w:val="464"/>
        </w:trPr>
        <w:tc>
          <w:tcPr>
            <w:tcW w:w="817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C30商品混凝土</w:t>
            </w:r>
          </w:p>
        </w:tc>
        <w:tc>
          <w:tcPr>
            <w:tcW w:w="851" w:type="dxa"/>
            <w:vAlign w:val="center"/>
          </w:tcPr>
          <w:p w:rsidR="006A1B6F" w:rsidRDefault="00060214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A1B6F">
        <w:trPr>
          <w:trHeight w:val="464"/>
        </w:trPr>
        <w:tc>
          <w:tcPr>
            <w:tcW w:w="817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A1B6F">
        <w:trPr>
          <w:trHeight w:val="586"/>
        </w:trPr>
        <w:tc>
          <w:tcPr>
            <w:tcW w:w="817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A1B6F">
        <w:trPr>
          <w:trHeight w:val="619"/>
        </w:trPr>
        <w:tc>
          <w:tcPr>
            <w:tcW w:w="817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A1B6F">
        <w:trPr>
          <w:trHeight w:val="619"/>
        </w:trPr>
        <w:tc>
          <w:tcPr>
            <w:tcW w:w="817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6A1B6F" w:rsidRDefault="006A1B6F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6A1B6F" w:rsidRDefault="006A1B6F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A1B6F">
        <w:trPr>
          <w:trHeight w:val="3187"/>
        </w:trPr>
        <w:tc>
          <w:tcPr>
            <w:tcW w:w="8522" w:type="dxa"/>
            <w:gridSpan w:val="4"/>
          </w:tcPr>
          <w:p w:rsidR="006A1B6F" w:rsidRDefault="00060214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备注：本次报价为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含普税</w:t>
            </w:r>
            <w:proofErr w:type="gramEnd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、运费单价。</w:t>
            </w:r>
          </w:p>
          <w:p w:rsidR="006A1B6F" w:rsidRDefault="00060214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</w:t>
            </w:r>
          </w:p>
          <w:p w:rsidR="006A1B6F" w:rsidRDefault="006A1B6F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A1B6F" w:rsidRDefault="006A1B6F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6A1B6F" w:rsidRDefault="00060214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报价日期：     年   月   日</w:t>
      </w:r>
    </w:p>
    <w:sectPr w:rsidR="006A1B6F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4A" w:rsidRDefault="0058024A" w:rsidP="0026552F">
      <w:r>
        <w:separator/>
      </w:r>
    </w:p>
  </w:endnote>
  <w:endnote w:type="continuationSeparator" w:id="0">
    <w:p w:rsidR="0058024A" w:rsidRDefault="0058024A" w:rsidP="002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4A" w:rsidRDefault="0058024A" w:rsidP="0026552F">
      <w:r>
        <w:separator/>
      </w:r>
    </w:p>
  </w:footnote>
  <w:footnote w:type="continuationSeparator" w:id="0">
    <w:p w:rsidR="0058024A" w:rsidRDefault="0058024A" w:rsidP="0026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jMjQ5Y2EwODVjNmJlOGEyMGY0ZmM4YWQ0NjE0YzIifQ=="/>
  </w:docVars>
  <w:rsids>
    <w:rsidRoot w:val="002F2D06"/>
    <w:rsid w:val="00011694"/>
    <w:rsid w:val="00060214"/>
    <w:rsid w:val="000C6E38"/>
    <w:rsid w:val="000E1BFB"/>
    <w:rsid w:val="0011123C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6552F"/>
    <w:rsid w:val="002717F3"/>
    <w:rsid w:val="002A6254"/>
    <w:rsid w:val="002B5D13"/>
    <w:rsid w:val="002C30AD"/>
    <w:rsid w:val="002E205A"/>
    <w:rsid w:val="002F2D06"/>
    <w:rsid w:val="0034299E"/>
    <w:rsid w:val="003A5266"/>
    <w:rsid w:val="003E0081"/>
    <w:rsid w:val="00422562"/>
    <w:rsid w:val="0047128B"/>
    <w:rsid w:val="00474A52"/>
    <w:rsid w:val="004D7268"/>
    <w:rsid w:val="0058024A"/>
    <w:rsid w:val="005D0C7B"/>
    <w:rsid w:val="005E2F29"/>
    <w:rsid w:val="005F080A"/>
    <w:rsid w:val="0061714A"/>
    <w:rsid w:val="00650FB3"/>
    <w:rsid w:val="0065299A"/>
    <w:rsid w:val="00696829"/>
    <w:rsid w:val="006A1B6F"/>
    <w:rsid w:val="006B06C7"/>
    <w:rsid w:val="006C07C7"/>
    <w:rsid w:val="006D4681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8E201B"/>
    <w:rsid w:val="00911EE6"/>
    <w:rsid w:val="00950387"/>
    <w:rsid w:val="00954456"/>
    <w:rsid w:val="009A0440"/>
    <w:rsid w:val="00A20712"/>
    <w:rsid w:val="00A657D9"/>
    <w:rsid w:val="00B92338"/>
    <w:rsid w:val="00B94C49"/>
    <w:rsid w:val="00BB1669"/>
    <w:rsid w:val="00BB7A96"/>
    <w:rsid w:val="00BD4EB2"/>
    <w:rsid w:val="00C36F8C"/>
    <w:rsid w:val="00C445DE"/>
    <w:rsid w:val="00E160DF"/>
    <w:rsid w:val="00E22F69"/>
    <w:rsid w:val="00E52914"/>
    <w:rsid w:val="00E55262"/>
    <w:rsid w:val="00E628C5"/>
    <w:rsid w:val="00F070D3"/>
    <w:rsid w:val="00F45FC0"/>
    <w:rsid w:val="00F6360E"/>
    <w:rsid w:val="00F76C75"/>
    <w:rsid w:val="00FA022C"/>
    <w:rsid w:val="00FA0618"/>
    <w:rsid w:val="00FB7AB6"/>
    <w:rsid w:val="00FF1412"/>
    <w:rsid w:val="0210336E"/>
    <w:rsid w:val="04A42800"/>
    <w:rsid w:val="060542EA"/>
    <w:rsid w:val="064F120F"/>
    <w:rsid w:val="06E47C44"/>
    <w:rsid w:val="0A99714F"/>
    <w:rsid w:val="0B00711B"/>
    <w:rsid w:val="0CBA43A8"/>
    <w:rsid w:val="15F0514C"/>
    <w:rsid w:val="18A90440"/>
    <w:rsid w:val="1D455816"/>
    <w:rsid w:val="21571350"/>
    <w:rsid w:val="23FB184B"/>
    <w:rsid w:val="24704055"/>
    <w:rsid w:val="290C0D3D"/>
    <w:rsid w:val="298B3ED2"/>
    <w:rsid w:val="29990DA5"/>
    <w:rsid w:val="29A0718A"/>
    <w:rsid w:val="2DE41C8B"/>
    <w:rsid w:val="2ED95B70"/>
    <w:rsid w:val="30FF4005"/>
    <w:rsid w:val="34FA3BF3"/>
    <w:rsid w:val="351A0346"/>
    <w:rsid w:val="35835082"/>
    <w:rsid w:val="378A3AF4"/>
    <w:rsid w:val="37D5513E"/>
    <w:rsid w:val="39AC724B"/>
    <w:rsid w:val="3E5474D4"/>
    <w:rsid w:val="4007404D"/>
    <w:rsid w:val="41333592"/>
    <w:rsid w:val="41423F32"/>
    <w:rsid w:val="41C070E5"/>
    <w:rsid w:val="43813CAA"/>
    <w:rsid w:val="45540203"/>
    <w:rsid w:val="459953B3"/>
    <w:rsid w:val="45ED50AE"/>
    <w:rsid w:val="481000D8"/>
    <w:rsid w:val="4AD47735"/>
    <w:rsid w:val="4D232C5A"/>
    <w:rsid w:val="4E2976E3"/>
    <w:rsid w:val="4FE76D2B"/>
    <w:rsid w:val="547B5DEE"/>
    <w:rsid w:val="57763DF4"/>
    <w:rsid w:val="58293787"/>
    <w:rsid w:val="59FE6D52"/>
    <w:rsid w:val="5ADD34AA"/>
    <w:rsid w:val="5B495134"/>
    <w:rsid w:val="5B5A6076"/>
    <w:rsid w:val="61B218C7"/>
    <w:rsid w:val="62D41C8E"/>
    <w:rsid w:val="684E07F0"/>
    <w:rsid w:val="68A1569B"/>
    <w:rsid w:val="6B584B9D"/>
    <w:rsid w:val="6BFD630C"/>
    <w:rsid w:val="6D3C6164"/>
    <w:rsid w:val="7463525A"/>
    <w:rsid w:val="76AF1F55"/>
    <w:rsid w:val="79520F38"/>
    <w:rsid w:val="799A70C8"/>
    <w:rsid w:val="7C333D0E"/>
    <w:rsid w:val="7C935D1E"/>
    <w:rsid w:val="7CC22362"/>
    <w:rsid w:val="7EAA29B8"/>
    <w:rsid w:val="7EDC4CB0"/>
    <w:rsid w:val="7EF7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</Words>
  <Characters>736</Characters>
  <Application>Microsoft Office Word</Application>
  <DocSecurity>0</DocSecurity>
  <Lines>6</Lines>
  <Paragraphs>1</Paragraphs>
  <ScaleCrop>false</ScaleCrop>
  <Company>jhstudio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新会公路事务中心收发员</cp:lastModifiedBy>
  <cp:revision>16</cp:revision>
  <cp:lastPrinted>2023-03-21T07:20:00Z</cp:lastPrinted>
  <dcterms:created xsi:type="dcterms:W3CDTF">2023-03-10T03:01:00Z</dcterms:created>
  <dcterms:modified xsi:type="dcterms:W3CDTF">2023-05-11T00:39:00Z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48B3923588424EEBA03684081DBC18FE</vt:lpwstr>
  </property>
</Properties>
</file>