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72" w:rsidRDefault="00E73B18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江门市新会公路局养护中心商品</w:t>
      </w:r>
    </w:p>
    <w:p w:rsidR="00440172" w:rsidRDefault="00E73B1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混凝土采购询价函</w:t>
      </w:r>
    </w:p>
    <w:p w:rsidR="00440172" w:rsidRDefault="00E73B18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Y2024051</w:t>
      </w:r>
      <w:r w:rsidR="009255EA">
        <w:rPr>
          <w:rFonts w:hint="eastAsia"/>
        </w:rPr>
        <w:t>5</w:t>
      </w:r>
      <w:r>
        <w:rPr>
          <w:rFonts w:hint="eastAsia"/>
        </w:rPr>
        <w:t>-2</w:t>
      </w:r>
    </w:p>
    <w:p w:rsidR="00440172" w:rsidRPr="00F545A6" w:rsidRDefault="00E73B18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项目概况</w:t>
      </w:r>
    </w:p>
    <w:p w:rsidR="00440172" w:rsidRDefault="00E73B18" w:rsidP="00F545A6">
      <w:pPr>
        <w:spacing w:line="52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因我单位大泽</w:t>
      </w:r>
      <w:proofErr w:type="gramStart"/>
      <w:r w:rsidRPr="00F545A6">
        <w:rPr>
          <w:rFonts w:ascii="仿宋" w:eastAsia="仿宋" w:hAnsi="仿宋" w:hint="eastAsia"/>
          <w:sz w:val="30"/>
          <w:szCs w:val="30"/>
        </w:rPr>
        <w:t>养护站</w:t>
      </w:r>
      <w:proofErr w:type="gramEnd"/>
      <w:r w:rsidRPr="00F545A6">
        <w:rPr>
          <w:rFonts w:ascii="仿宋" w:eastAsia="仿宋" w:hAnsi="仿宋" w:hint="eastAsia"/>
          <w:sz w:val="30"/>
          <w:szCs w:val="30"/>
        </w:rPr>
        <w:t>停车棚建设需要，现需采购商品混凝土一批</w:t>
      </w:r>
      <w:r w:rsidR="00F545A6" w:rsidRPr="00F545A6">
        <w:rPr>
          <w:rFonts w:ascii="仿宋" w:eastAsia="仿宋" w:hAnsi="仿宋" w:hint="eastAsia"/>
          <w:sz w:val="30"/>
          <w:szCs w:val="30"/>
        </w:rPr>
        <w:t>。采购总</w:t>
      </w:r>
      <w:r w:rsidRPr="00F545A6">
        <w:rPr>
          <w:rFonts w:ascii="仿宋" w:eastAsia="仿宋" w:hAnsi="仿宋" w:hint="eastAsia"/>
          <w:sz w:val="30"/>
          <w:szCs w:val="30"/>
        </w:rPr>
        <w:t>预算金额约8万元（预算金额包括税费、运输费，具体以实际结算）。</w:t>
      </w:r>
    </w:p>
    <w:p w:rsidR="00FE523E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440172" w:rsidRPr="00F545A6" w:rsidRDefault="00E73B18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询价内容</w:t>
      </w:r>
    </w:p>
    <w:tbl>
      <w:tblPr>
        <w:tblW w:w="95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178"/>
        <w:gridCol w:w="1459"/>
        <w:gridCol w:w="3818"/>
        <w:gridCol w:w="1255"/>
      </w:tblGrid>
      <w:tr w:rsidR="00440172" w:rsidRPr="00F545A6">
        <w:trPr>
          <w:trHeight w:hRule="exact" w:val="680"/>
          <w:jc w:val="center"/>
        </w:trPr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/>
                <w:sz w:val="30"/>
                <w:szCs w:val="30"/>
              </w:rPr>
              <w:t>混凝土强度等级（品目）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/>
                <w:sz w:val="30"/>
                <w:szCs w:val="30"/>
              </w:rPr>
              <w:t>计量单位</w:t>
            </w:r>
          </w:p>
        </w:tc>
        <w:tc>
          <w:tcPr>
            <w:tcW w:w="5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/>
                <w:sz w:val="30"/>
                <w:szCs w:val="30"/>
              </w:rPr>
              <w:t>备注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440172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</w:p>
        </w:tc>
      </w:tr>
      <w:tr w:rsidR="00440172" w:rsidRPr="00F545A6">
        <w:trPr>
          <w:trHeight w:hRule="exact" w:val="680"/>
          <w:jc w:val="center"/>
        </w:trPr>
        <w:tc>
          <w:tcPr>
            <w:tcW w:w="1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440172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</w:p>
        </w:tc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440172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 w:hint="eastAsia"/>
                <w:sz w:val="30"/>
                <w:szCs w:val="30"/>
              </w:rPr>
              <w:t>使用部位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 w:hint="eastAsia"/>
                <w:sz w:val="30"/>
                <w:szCs w:val="30"/>
              </w:rPr>
              <w:t>粉煤、矿粉掺入总量及指标要求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 w:hint="eastAsia"/>
                <w:sz w:val="30"/>
                <w:szCs w:val="30"/>
              </w:rPr>
              <w:t>采砂要求</w:t>
            </w:r>
          </w:p>
        </w:tc>
      </w:tr>
      <w:tr w:rsidR="00440172" w:rsidRPr="00F545A6">
        <w:trPr>
          <w:trHeight w:hRule="exact" w:val="680"/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Theme="minorEastAsia" w:hAnsi="宋体_GB2312" w:cs="宋体_GB2312" w:hint="eastAsia"/>
                <w:sz w:val="30"/>
                <w:szCs w:val="30"/>
              </w:rPr>
            </w:pPr>
            <w:r w:rsidRPr="00F545A6">
              <w:rPr>
                <w:rFonts w:asciiTheme="minorEastAsia" w:hAnsi="宋体_GB2312" w:cs="宋体_GB2312" w:hint="eastAsia"/>
                <w:sz w:val="30"/>
                <w:szCs w:val="30"/>
              </w:rPr>
              <w:t>C30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pStyle w:val="a6"/>
              <w:widowControl/>
              <w:wordWrap w:val="0"/>
              <w:spacing w:beforeAutospacing="0" w:afterAutospacing="0" w:line="520" w:lineRule="exact"/>
              <w:jc w:val="center"/>
              <w:rPr>
                <w:rFonts w:ascii="宋体_GB2312" w:eastAsia="宋体_GB2312" w:hAnsi="宋体_GB2312" w:cs="宋体_GB2312"/>
                <w:sz w:val="30"/>
                <w:szCs w:val="30"/>
              </w:rPr>
            </w:pPr>
            <w:r w:rsidRPr="00F545A6">
              <w:rPr>
                <w:rFonts w:ascii="宋体_GB2312" w:eastAsia="宋体_GB2312" w:hAnsi="宋体_GB2312" w:cs="宋体_GB2312"/>
                <w:sz w:val="30"/>
                <w:szCs w:val="30"/>
              </w:rPr>
              <w:t>m</w:t>
            </w:r>
            <w:r w:rsidRPr="00F545A6">
              <w:rPr>
                <w:rFonts w:ascii="宋体_GB2312" w:eastAsia="宋体_GB2312" w:hAnsi="宋体_GB2312" w:cs="宋体_GB2312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spacing w:line="520" w:lineRule="exact"/>
              <w:jc w:val="center"/>
              <w:rPr>
                <w:rFonts w:ascii="宋体"/>
                <w:sz w:val="30"/>
                <w:szCs w:val="30"/>
              </w:rPr>
            </w:pPr>
            <w:r w:rsidRPr="00F545A6">
              <w:rPr>
                <w:rFonts w:ascii="宋体" w:hint="eastAsia"/>
                <w:sz w:val="30"/>
                <w:szCs w:val="30"/>
              </w:rPr>
              <w:t>面层结构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spacing w:line="520" w:lineRule="exact"/>
              <w:jc w:val="center"/>
              <w:rPr>
                <w:rFonts w:ascii="宋体" w:eastAsia="仿宋"/>
                <w:sz w:val="30"/>
                <w:szCs w:val="30"/>
              </w:rPr>
            </w:pPr>
            <w:r w:rsidRPr="00F545A6">
              <w:rPr>
                <w:rFonts w:ascii="仿宋" w:eastAsia="仿宋" w:hAnsi="仿宋" w:cs="仿宋" w:hint="eastAsia"/>
                <w:sz w:val="30"/>
                <w:szCs w:val="30"/>
              </w:rPr>
              <w:t>≤20%，粉煤灰：</w:t>
            </w:r>
            <w:r w:rsidRPr="00F545A6">
              <w:rPr>
                <w:rFonts w:asciiTheme="minorEastAsia" w:hAnsi="仿宋" w:cs="仿宋" w:hint="eastAsia"/>
                <w:sz w:val="30"/>
                <w:szCs w:val="30"/>
              </w:rPr>
              <w:t>Ⅱ</w:t>
            </w:r>
            <w:r w:rsidRPr="00F545A6">
              <w:rPr>
                <w:rFonts w:ascii="仿宋" w:eastAsia="仿宋" w:hAnsi="仿宋" w:cs="仿宋" w:hint="eastAsia"/>
                <w:sz w:val="30"/>
                <w:szCs w:val="30"/>
              </w:rPr>
              <w:t>，矿粉:S95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Pr="00F545A6" w:rsidRDefault="00E73B1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F545A6">
              <w:rPr>
                <w:rFonts w:ascii="仿宋" w:eastAsia="仿宋" w:hAnsi="仿宋" w:cs="仿宋" w:hint="eastAsia"/>
                <w:sz w:val="30"/>
                <w:szCs w:val="30"/>
              </w:rPr>
              <w:t>天然砂</w:t>
            </w:r>
          </w:p>
        </w:tc>
      </w:tr>
    </w:tbl>
    <w:p w:rsidR="00440172" w:rsidRDefault="00E73B18">
      <w:pPr>
        <w:spacing w:line="520" w:lineRule="exact"/>
        <w:rPr>
          <w:rFonts w:asciiTheme="minorEastAsia" w:hAnsiTheme="minorEastAsia" w:cs="宋体_GB2312" w:hint="eastAsia"/>
          <w:sz w:val="30"/>
          <w:szCs w:val="30"/>
          <w:shd w:val="clear" w:color="auto" w:fill="FFFFFF"/>
        </w:rPr>
      </w:pPr>
      <w:r w:rsidRPr="00F545A6">
        <w:rPr>
          <w:rFonts w:ascii="仿宋" w:eastAsia="仿宋" w:hAnsi="仿宋" w:hint="eastAsia"/>
          <w:sz w:val="30"/>
          <w:szCs w:val="30"/>
        </w:rPr>
        <w:t>收货地点：江门市新会公路局养护中心大泽养护站</w:t>
      </w:r>
      <w:r w:rsidRPr="00F545A6">
        <w:rPr>
          <w:rFonts w:asciiTheme="minorEastAsia" w:hAnsiTheme="minorEastAsia" w:cs="宋体_GB2312" w:hint="eastAsia"/>
          <w:sz w:val="30"/>
          <w:szCs w:val="30"/>
          <w:shd w:val="clear" w:color="auto" w:fill="FFFFFF"/>
        </w:rPr>
        <w:t>。</w:t>
      </w:r>
    </w:p>
    <w:p w:rsidR="00FE523E" w:rsidRPr="00F545A6" w:rsidRDefault="00FE523E">
      <w:pPr>
        <w:spacing w:line="520" w:lineRule="exact"/>
        <w:rPr>
          <w:sz w:val="30"/>
          <w:szCs w:val="30"/>
        </w:rPr>
      </w:pPr>
    </w:p>
    <w:p w:rsidR="00440172" w:rsidRPr="00F545A6" w:rsidRDefault="00E73B18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资格要求</w:t>
      </w:r>
    </w:p>
    <w:p w:rsidR="00440172" w:rsidRPr="00F545A6" w:rsidRDefault="00FE523E" w:rsidP="00FE523E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满足《中华人民共和国政府采购法》第二十二条规定。</w:t>
      </w:r>
    </w:p>
    <w:p w:rsidR="00440172" w:rsidRPr="00F545A6" w:rsidRDefault="00FE523E" w:rsidP="00FE523E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（二）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具有预拌商品</w:t>
      </w:r>
      <w:proofErr w:type="gramStart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砼</w:t>
      </w:r>
      <w:proofErr w:type="gramEnd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专业资质。</w:t>
      </w:r>
    </w:p>
    <w:p w:rsidR="00440172" w:rsidRPr="00F545A6" w:rsidRDefault="00FE523E" w:rsidP="00FE523E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</w:t>
      </w:r>
      <w:r w:rsidR="00E73B18" w:rsidRPr="00F545A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无行业不良记录，需出具广东省守合同重信用企业证明及不处于中国政府采购网(http://www.ccgp.gov.cn/search/cr/)“政府采购严重违法失信行为信息记录”的名单中。</w:t>
      </w:r>
    </w:p>
    <w:p w:rsidR="00440172" w:rsidRPr="00F545A6" w:rsidRDefault="00FE523E" w:rsidP="00FE523E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（四）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本项目不接受联合投标。</w:t>
      </w:r>
    </w:p>
    <w:p w:rsidR="00440172" w:rsidRPr="00F545A6" w:rsidRDefault="00E73B18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报价要求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E73B18" w:rsidRPr="00F545A6">
        <w:rPr>
          <w:rFonts w:ascii="仿宋" w:eastAsia="仿宋" w:hAnsi="仿宋" w:hint="eastAsia"/>
          <w:sz w:val="30"/>
          <w:szCs w:val="30"/>
        </w:rPr>
        <w:t>报价时间：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2024年5月1</w:t>
      </w:r>
      <w:r w:rsidR="00487AE2">
        <w:rPr>
          <w:rFonts w:ascii="仿宋" w:eastAsia="仿宋" w:hAnsi="仿宋" w:hint="eastAsia"/>
          <w:kern w:val="0"/>
          <w:sz w:val="30"/>
          <w:szCs w:val="30"/>
        </w:rPr>
        <w:t>5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日8：00至2024年5月</w:t>
      </w:r>
      <w:r w:rsidR="00487AE2">
        <w:rPr>
          <w:rFonts w:ascii="仿宋" w:eastAsia="仿宋" w:hAnsi="仿宋" w:hint="eastAsia"/>
          <w:kern w:val="0"/>
          <w:sz w:val="30"/>
          <w:szCs w:val="30"/>
        </w:rPr>
        <w:t>21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日17：00时止（北京时间）。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（二）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报价地点：江门市新会区双水</w:t>
      </w:r>
      <w:proofErr w:type="gramStart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镇基背村</w:t>
      </w:r>
      <w:proofErr w:type="gramEnd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五</w:t>
      </w:r>
      <w:proofErr w:type="gramStart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斗村民</w:t>
      </w:r>
      <w:proofErr w:type="gramEnd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小组高田围江门市新会公路局养护中心。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（三）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报价方式：现场递交报名材料或邮寄。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（四）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报价材料：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营业执照复印件。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2.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税务登记证复印件。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3.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基本存款账户开户许可证复印件。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4.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企业信誉：无行业不良记录及不处于中国政府采购网(http://www.ccgp.gov.cn/search/cr/)“政府采购严重违法失信行为信</w:t>
      </w:r>
      <w:bookmarkStart w:id="0" w:name="_GoBack"/>
      <w:bookmarkEnd w:id="0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息记录”的名单中证明（上述网站查询截图打印）。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5.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报价：报价文件（上述表中各强度等级商品</w:t>
      </w:r>
      <w:proofErr w:type="gramStart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砼</w:t>
      </w:r>
      <w:proofErr w:type="gramEnd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的报价应含税费、运输费）。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6.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服务承诺（含响应时间、质量承诺）。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7.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机构介绍。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8.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各级强度</w:t>
      </w:r>
      <w:proofErr w:type="gramStart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混凝土混凝土</w:t>
      </w:r>
      <w:proofErr w:type="gramEnd"/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配合比、主要原材料品牌、合格证、检测报告等相关资料。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9.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上述文件资料均需加盖公章及法人代表或授权人（附授权函）签名。</w:t>
      </w:r>
    </w:p>
    <w:p w:rsidR="00440172" w:rsidRPr="00F545A6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10.</w:t>
      </w:r>
      <w:r w:rsidR="00E73B18" w:rsidRPr="00F545A6">
        <w:rPr>
          <w:rFonts w:ascii="仿宋" w:eastAsia="仿宋" w:hAnsi="仿宋" w:hint="eastAsia"/>
          <w:kern w:val="0"/>
          <w:sz w:val="30"/>
          <w:szCs w:val="30"/>
        </w:rPr>
        <w:t>报价文件需加盖公章并密封提交，否则视为无效报价。</w:t>
      </w:r>
    </w:p>
    <w:p w:rsidR="00FE523E" w:rsidRDefault="00FE523E" w:rsidP="00F545A6">
      <w:pPr>
        <w:spacing w:line="520" w:lineRule="exact"/>
        <w:ind w:firstLineChars="200" w:firstLine="600"/>
        <w:jc w:val="left"/>
        <w:rPr>
          <w:rFonts w:ascii="仿宋" w:eastAsia="仿宋" w:hAnsi="仿宋" w:hint="eastAsia"/>
          <w:kern w:val="0"/>
          <w:sz w:val="30"/>
          <w:szCs w:val="30"/>
        </w:rPr>
      </w:pPr>
    </w:p>
    <w:p w:rsidR="00440172" w:rsidRPr="00F545A6" w:rsidRDefault="00E73B18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F545A6">
        <w:rPr>
          <w:rFonts w:ascii="仿宋" w:eastAsia="仿宋" w:hAnsi="仿宋" w:hint="eastAsia"/>
          <w:kern w:val="0"/>
          <w:sz w:val="30"/>
          <w:szCs w:val="30"/>
        </w:rPr>
        <w:t>五、确定成交供应商</w:t>
      </w:r>
    </w:p>
    <w:p w:rsidR="00487AE2" w:rsidRPr="00487AE2" w:rsidRDefault="00FE523E" w:rsidP="00487AE2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</w:t>
      </w:r>
      <w:r w:rsidR="00487AE2" w:rsidRPr="00487AE2">
        <w:rPr>
          <w:rFonts w:ascii="仿宋" w:eastAsia="仿宋" w:hAnsi="仿宋" w:hint="eastAsia"/>
          <w:kern w:val="0"/>
          <w:sz w:val="30"/>
          <w:szCs w:val="30"/>
        </w:rPr>
        <w:t>供应商所供商品混凝土必须满足公告要求。</w:t>
      </w:r>
    </w:p>
    <w:p w:rsidR="00487AE2" w:rsidRPr="00487AE2" w:rsidRDefault="00FE523E" w:rsidP="00487AE2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（二）</w:t>
      </w:r>
      <w:r w:rsidR="00487AE2" w:rsidRPr="00487AE2">
        <w:rPr>
          <w:rFonts w:ascii="仿宋" w:eastAsia="仿宋" w:hAnsi="仿宋" w:hint="eastAsia"/>
          <w:kern w:val="0"/>
          <w:sz w:val="30"/>
          <w:szCs w:val="30"/>
        </w:rPr>
        <w:t>供应商必须充分考虑市场价格波动因素，严禁以脱离客观市场价格报价的恶性竞争行为。</w:t>
      </w:r>
    </w:p>
    <w:p w:rsidR="00487AE2" w:rsidRDefault="00FE523E" w:rsidP="00487AE2">
      <w:pPr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（三）</w:t>
      </w:r>
      <w:r w:rsidR="00487AE2" w:rsidRPr="00487AE2">
        <w:rPr>
          <w:rFonts w:ascii="仿宋" w:eastAsia="仿宋" w:hAnsi="仿宋" w:hint="eastAsia"/>
          <w:kern w:val="0"/>
          <w:sz w:val="30"/>
          <w:szCs w:val="30"/>
        </w:rPr>
        <w:t>采购方将综合考虑供应商的各评审因素综合比较确认供应商。</w:t>
      </w:r>
    </w:p>
    <w:p w:rsidR="00FE523E" w:rsidRDefault="00FE523E" w:rsidP="00487AE2">
      <w:pPr>
        <w:spacing w:line="52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440172" w:rsidRPr="00F545A6" w:rsidRDefault="00E73B18" w:rsidP="00487AE2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lastRenderedPageBreak/>
        <w:t>六、联系方式</w:t>
      </w:r>
    </w:p>
    <w:p w:rsidR="00440172" w:rsidRPr="00F545A6" w:rsidRDefault="00E73B18" w:rsidP="00F545A6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F545A6">
        <w:rPr>
          <w:rFonts w:ascii="仿宋" w:eastAsia="仿宋" w:hAnsi="仿宋" w:hint="eastAsia"/>
          <w:kern w:val="0"/>
          <w:sz w:val="30"/>
          <w:szCs w:val="30"/>
        </w:rPr>
        <w:t>联系人：谭先生</w:t>
      </w:r>
    </w:p>
    <w:p w:rsidR="00440172" w:rsidRPr="00F545A6" w:rsidRDefault="00E73B18" w:rsidP="00F545A6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kern w:val="0"/>
          <w:sz w:val="30"/>
          <w:szCs w:val="30"/>
        </w:rPr>
        <w:t>联系电话：0750—6416282</w:t>
      </w:r>
    </w:p>
    <w:p w:rsidR="00440172" w:rsidRPr="00F545A6" w:rsidRDefault="00E73B18">
      <w:pPr>
        <w:spacing w:line="520" w:lineRule="exact"/>
        <w:jc w:val="righ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cs="仿宋" w:hint="eastAsia"/>
          <w:sz w:val="30"/>
          <w:szCs w:val="30"/>
        </w:rPr>
        <w:t>江门市新会公路局养护中心</w:t>
      </w:r>
    </w:p>
    <w:p w:rsidR="00440172" w:rsidRPr="00F545A6" w:rsidRDefault="00E73B18">
      <w:pPr>
        <w:spacing w:line="520" w:lineRule="exact"/>
        <w:jc w:val="right"/>
        <w:rPr>
          <w:rFonts w:ascii="仿宋" w:eastAsia="仿宋" w:hAnsi="仿宋"/>
          <w:sz w:val="30"/>
          <w:szCs w:val="30"/>
        </w:rPr>
      </w:pPr>
      <w:r w:rsidRPr="00F545A6">
        <w:rPr>
          <w:rFonts w:ascii="仿宋" w:eastAsia="仿宋" w:hAnsi="仿宋" w:hint="eastAsia"/>
          <w:sz w:val="30"/>
          <w:szCs w:val="30"/>
        </w:rPr>
        <w:t>2024年5月1</w:t>
      </w:r>
      <w:r w:rsidR="00487AE2">
        <w:rPr>
          <w:rFonts w:ascii="仿宋" w:eastAsia="仿宋" w:hAnsi="仿宋" w:hint="eastAsia"/>
          <w:sz w:val="30"/>
          <w:szCs w:val="30"/>
        </w:rPr>
        <w:t>5</w:t>
      </w:r>
      <w:r w:rsidRPr="00F545A6">
        <w:rPr>
          <w:rFonts w:ascii="仿宋" w:eastAsia="仿宋" w:hAnsi="仿宋" w:hint="eastAsia"/>
          <w:sz w:val="30"/>
          <w:szCs w:val="30"/>
        </w:rPr>
        <w:t>日</w:t>
      </w:r>
    </w:p>
    <w:p w:rsidR="00440172" w:rsidRDefault="00E73B18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询价函编号：Y2024051</w:t>
      </w:r>
      <w:r w:rsidR="009255E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-2</w:t>
      </w:r>
    </w:p>
    <w:p w:rsidR="00440172" w:rsidRDefault="00440172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FE523E" w:rsidRDefault="00FE523E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:rsidR="00440172" w:rsidRDefault="00E73B18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报 价 单</w:t>
      </w:r>
    </w:p>
    <w:p w:rsidR="00440172" w:rsidRDefault="00440172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40172" w:rsidRDefault="00E73B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</w:p>
    <w:p w:rsidR="00440172" w:rsidRDefault="00E73B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联系电话：</w:t>
      </w:r>
    </w:p>
    <w:p w:rsidR="00440172" w:rsidRDefault="0044017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440172" w:rsidRDefault="0044017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tbl>
      <w:tblPr>
        <w:tblW w:w="8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07"/>
        <w:gridCol w:w="873"/>
        <w:gridCol w:w="3791"/>
        <w:gridCol w:w="1186"/>
        <w:gridCol w:w="1101"/>
      </w:tblGrid>
      <w:tr w:rsidR="00440172">
        <w:trPr>
          <w:trHeight w:hRule="exact" w:val="680"/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ascii="宋体_GB2312" w:eastAsia="宋体_GB2312" w:hAnsi="宋体_GB2312" w:cs="宋体_GB2312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ascii="宋体_GB2312" w:eastAsia="宋体_GB2312" w:hAnsi="宋体_GB2312" w:cs="宋体_GB2312"/>
              </w:rPr>
              <w:t>混凝土强度等级（品目）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ascii="宋体_GB2312" w:eastAsia="宋体_GB2312" w:hAnsi="宋体_GB2312" w:cs="宋体_GB2312"/>
              </w:rPr>
              <w:t>计量单位</w:t>
            </w:r>
          </w:p>
        </w:tc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备注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单价</w:t>
            </w:r>
          </w:p>
        </w:tc>
      </w:tr>
      <w:tr w:rsidR="00440172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440172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</w:p>
        </w:tc>
        <w:tc>
          <w:tcPr>
            <w:tcW w:w="1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440172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440172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粉煤、矿粉掺入总量及指标要求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用砂要求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元/m</w:t>
            </w:r>
            <w:r>
              <w:rPr>
                <w:rFonts w:ascii="宋体_GB2312" w:eastAsia="宋体_GB2312" w:hAnsi="宋体_GB2312" w:cs="宋体_GB2312" w:hint="eastAsia"/>
                <w:vertAlign w:val="superscript"/>
              </w:rPr>
              <w:t>3</w:t>
            </w:r>
          </w:p>
        </w:tc>
      </w:tr>
      <w:tr w:rsidR="00440172">
        <w:trPr>
          <w:trHeight w:hRule="exact" w:val="680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 w:hint="eastAsia"/>
              </w:rPr>
              <w:t>C30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_GB2312" w:eastAsia="宋体_GB2312" w:hAnsi="宋体_GB2312" w:cs="宋体_GB2312"/>
              </w:rPr>
            </w:pPr>
            <w:r>
              <w:rPr>
                <w:rFonts w:ascii="宋体_GB2312" w:eastAsia="宋体_GB2312" w:hAnsi="宋体_GB2312" w:cs="宋体_GB2312"/>
              </w:rPr>
              <w:t>m</w:t>
            </w:r>
            <w:r>
              <w:rPr>
                <w:rFonts w:ascii="宋体_GB2312" w:eastAsia="宋体_GB2312" w:hAnsi="宋体_GB2312" w:cs="宋体_GB2312"/>
                <w:vertAlign w:val="superscript"/>
              </w:rPr>
              <w:t>3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jc w:val="center"/>
              <w:rPr>
                <w:rFonts w:ascii="宋体"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≤40%，粉煤灰：Ⅱ，矿粉:S95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E73B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天然砂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440172" w:rsidRDefault="004401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40172" w:rsidRDefault="00440172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440172" w:rsidRDefault="00440172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40172" w:rsidRDefault="00E73B18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     年   月   日</w:t>
      </w:r>
    </w:p>
    <w:sectPr w:rsidR="00440172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EF" w:rsidRDefault="00F756EF" w:rsidP="00F545A6">
      <w:r>
        <w:separator/>
      </w:r>
    </w:p>
  </w:endnote>
  <w:endnote w:type="continuationSeparator" w:id="0">
    <w:p w:rsidR="00F756EF" w:rsidRDefault="00F756EF" w:rsidP="00F5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_GB2312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EF" w:rsidRDefault="00F756EF" w:rsidP="00F545A6">
      <w:r>
        <w:separator/>
      </w:r>
    </w:p>
  </w:footnote>
  <w:footnote w:type="continuationSeparator" w:id="0">
    <w:p w:rsidR="00F756EF" w:rsidRDefault="00F756EF" w:rsidP="00F5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MzkxYjFiMmFkYWNlOWMyMTc1NmU0ZmI1MjE4ODIifQ=="/>
  </w:docVars>
  <w:rsids>
    <w:rsidRoot w:val="002F2D06"/>
    <w:rsid w:val="00011694"/>
    <w:rsid w:val="000C6E38"/>
    <w:rsid w:val="000E1BFB"/>
    <w:rsid w:val="0011123C"/>
    <w:rsid w:val="00180AC1"/>
    <w:rsid w:val="001835AE"/>
    <w:rsid w:val="00186D4D"/>
    <w:rsid w:val="001D553D"/>
    <w:rsid w:val="0021117B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22562"/>
    <w:rsid w:val="00440172"/>
    <w:rsid w:val="0047128B"/>
    <w:rsid w:val="00474A52"/>
    <w:rsid w:val="00487AE2"/>
    <w:rsid w:val="004D7268"/>
    <w:rsid w:val="005D0C7B"/>
    <w:rsid w:val="005E2F29"/>
    <w:rsid w:val="005F080A"/>
    <w:rsid w:val="0061714A"/>
    <w:rsid w:val="00650FB3"/>
    <w:rsid w:val="0065299A"/>
    <w:rsid w:val="00696829"/>
    <w:rsid w:val="006B06C7"/>
    <w:rsid w:val="006C07C7"/>
    <w:rsid w:val="006D3ABC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911EE6"/>
    <w:rsid w:val="009255EA"/>
    <w:rsid w:val="00950387"/>
    <w:rsid w:val="00954456"/>
    <w:rsid w:val="009A0440"/>
    <w:rsid w:val="00A20712"/>
    <w:rsid w:val="00A657D9"/>
    <w:rsid w:val="00B92338"/>
    <w:rsid w:val="00B94C49"/>
    <w:rsid w:val="00BB1669"/>
    <w:rsid w:val="00BB7A96"/>
    <w:rsid w:val="00BD4EB2"/>
    <w:rsid w:val="00C36F8C"/>
    <w:rsid w:val="00C445DE"/>
    <w:rsid w:val="00E160DF"/>
    <w:rsid w:val="00E22F69"/>
    <w:rsid w:val="00E52914"/>
    <w:rsid w:val="00E55262"/>
    <w:rsid w:val="00E628C5"/>
    <w:rsid w:val="00E73B18"/>
    <w:rsid w:val="00F070D3"/>
    <w:rsid w:val="00F45FC0"/>
    <w:rsid w:val="00F545A6"/>
    <w:rsid w:val="00F6360E"/>
    <w:rsid w:val="00F756EF"/>
    <w:rsid w:val="00F76C75"/>
    <w:rsid w:val="00FA022C"/>
    <w:rsid w:val="00FA0618"/>
    <w:rsid w:val="00FB7AB6"/>
    <w:rsid w:val="00FE523E"/>
    <w:rsid w:val="00FF1412"/>
    <w:rsid w:val="0210336E"/>
    <w:rsid w:val="04A42800"/>
    <w:rsid w:val="060542EA"/>
    <w:rsid w:val="064F120F"/>
    <w:rsid w:val="06E47C44"/>
    <w:rsid w:val="0A99714F"/>
    <w:rsid w:val="0B00711B"/>
    <w:rsid w:val="0CBA43A8"/>
    <w:rsid w:val="15F0514C"/>
    <w:rsid w:val="18A90440"/>
    <w:rsid w:val="1CFE57FE"/>
    <w:rsid w:val="1D455816"/>
    <w:rsid w:val="21571350"/>
    <w:rsid w:val="23FB184B"/>
    <w:rsid w:val="24704055"/>
    <w:rsid w:val="290C0D3D"/>
    <w:rsid w:val="298B3ED2"/>
    <w:rsid w:val="29990DA5"/>
    <w:rsid w:val="29A0718A"/>
    <w:rsid w:val="2DE41C8B"/>
    <w:rsid w:val="2ED95B70"/>
    <w:rsid w:val="30FF4005"/>
    <w:rsid w:val="32E01B49"/>
    <w:rsid w:val="34FA3BF3"/>
    <w:rsid w:val="351A0346"/>
    <w:rsid w:val="35835082"/>
    <w:rsid w:val="378A3AF4"/>
    <w:rsid w:val="37D5513E"/>
    <w:rsid w:val="39AC724B"/>
    <w:rsid w:val="3E5474D4"/>
    <w:rsid w:val="4007404D"/>
    <w:rsid w:val="41333592"/>
    <w:rsid w:val="41423F32"/>
    <w:rsid w:val="41C070E5"/>
    <w:rsid w:val="43813CAA"/>
    <w:rsid w:val="45540203"/>
    <w:rsid w:val="459953B3"/>
    <w:rsid w:val="45ED50AE"/>
    <w:rsid w:val="481000D8"/>
    <w:rsid w:val="4AD47735"/>
    <w:rsid w:val="4D232C5A"/>
    <w:rsid w:val="4E2976E3"/>
    <w:rsid w:val="4FE76D2B"/>
    <w:rsid w:val="547B5DEE"/>
    <w:rsid w:val="57763DF4"/>
    <w:rsid w:val="58293787"/>
    <w:rsid w:val="59FE6D52"/>
    <w:rsid w:val="5ADD34AA"/>
    <w:rsid w:val="5B495134"/>
    <w:rsid w:val="5B5A6076"/>
    <w:rsid w:val="5C311D40"/>
    <w:rsid w:val="61B218C7"/>
    <w:rsid w:val="62D41C8E"/>
    <w:rsid w:val="634A3065"/>
    <w:rsid w:val="684E07F0"/>
    <w:rsid w:val="68A1569B"/>
    <w:rsid w:val="6B584B9D"/>
    <w:rsid w:val="6BFD630C"/>
    <w:rsid w:val="6D3C6164"/>
    <w:rsid w:val="70E20EC0"/>
    <w:rsid w:val="72D07803"/>
    <w:rsid w:val="7463525A"/>
    <w:rsid w:val="74C80A11"/>
    <w:rsid w:val="74F86684"/>
    <w:rsid w:val="76AF1F55"/>
    <w:rsid w:val="79520F38"/>
    <w:rsid w:val="799A70C8"/>
    <w:rsid w:val="7C333D0E"/>
    <w:rsid w:val="7C935D1E"/>
    <w:rsid w:val="7CC22362"/>
    <w:rsid w:val="7EAA29B8"/>
    <w:rsid w:val="7EDC4CB0"/>
    <w:rsid w:val="7EF7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</Words>
  <Characters>974</Characters>
  <Application>Microsoft Office Word</Application>
  <DocSecurity>0</DocSecurity>
  <Lines>8</Lines>
  <Paragraphs>2</Paragraphs>
  <ScaleCrop>false</ScaleCrop>
  <Company>jhstudio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张晓茵</cp:lastModifiedBy>
  <cp:revision>18</cp:revision>
  <cp:lastPrinted>2023-03-21T07:20:00Z</cp:lastPrinted>
  <dcterms:created xsi:type="dcterms:W3CDTF">2023-03-10T03:01:00Z</dcterms:created>
  <dcterms:modified xsi:type="dcterms:W3CDTF">2024-05-15T01:13:00Z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48B3923588424EEBA03684081DBC18FE</vt:lpwstr>
  </property>
</Properties>
</file>