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宋体"/>
          <w:lang w:val="en-US" w:eastAsia="zh-CN"/>
        </w:rPr>
      </w:pPr>
      <w:r>
        <w:rPr>
          <w:rFonts w:hint="eastAsia" w:ascii="宋体" w:hAnsi="宋体" w:cs="宋体"/>
          <w:lang w:val="en-US" w:eastAsia="zh-CN"/>
        </w:rPr>
        <w:t>附件2：</w:t>
      </w:r>
    </w:p>
    <w:p>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w:t>
      </w:r>
      <w:r>
        <w:rPr>
          <w:rFonts w:hint="eastAsia" w:ascii="方正小标宋简体" w:hAnsi="方正小标宋简体" w:eastAsia="方正小标宋简体" w:cs="方正小标宋简体"/>
          <w:sz w:val="36"/>
          <w:szCs w:val="36"/>
          <w:lang w:val="en-US" w:eastAsia="zh-CN"/>
        </w:rPr>
        <w:t>鹤山</w:t>
      </w:r>
      <w:r>
        <w:rPr>
          <w:rFonts w:hint="eastAsia" w:ascii="方正小标宋简体" w:hAnsi="方正小标宋简体" w:eastAsia="方正小标宋简体" w:cs="方正小标宋简体"/>
          <w:sz w:val="36"/>
          <w:szCs w:val="36"/>
        </w:rPr>
        <w:t>公路局养护中心车辆</w:t>
      </w:r>
      <w:r>
        <w:rPr>
          <w:rFonts w:hint="eastAsia" w:ascii="方正小标宋简体" w:hAnsi="方正小标宋简体" w:eastAsia="方正小标宋简体" w:cs="方正小标宋简体"/>
          <w:sz w:val="36"/>
          <w:szCs w:val="36"/>
          <w:lang w:val="en-US" w:eastAsia="zh-CN"/>
        </w:rPr>
        <w:t>定点加油</w:t>
      </w:r>
      <w:r>
        <w:rPr>
          <w:rFonts w:hint="eastAsia" w:ascii="方正小标宋简体" w:hAnsi="方正小标宋简体" w:eastAsia="方正小标宋简体" w:cs="方正小标宋简体"/>
          <w:sz w:val="36"/>
          <w:szCs w:val="36"/>
        </w:rPr>
        <w:t>服务</w:t>
      </w:r>
    </w:p>
    <w:p>
      <w:pPr>
        <w:spacing w:line="500" w:lineRule="exact"/>
        <w:jc w:val="center"/>
        <w:rPr>
          <w:sz w:val="24"/>
          <w:szCs w:val="24"/>
        </w:rPr>
      </w:pPr>
      <w:r>
        <w:rPr>
          <w:rFonts w:hint="eastAsia" w:ascii="方正小标宋简体" w:hAnsi="方正小标宋简体" w:eastAsia="方正小标宋简体" w:cs="方正小标宋简体"/>
          <w:sz w:val="36"/>
          <w:szCs w:val="36"/>
        </w:rPr>
        <w:t>采购评分标准</w:t>
      </w:r>
    </w:p>
    <w:p>
      <w:pPr>
        <w:pStyle w:val="3"/>
        <w:rPr>
          <w:rFonts w:hAnsi="宋体" w:cs="宋体"/>
        </w:rPr>
      </w:pPr>
    </w:p>
    <w:p>
      <w:pPr>
        <w:spacing w:line="360" w:lineRule="auto"/>
        <w:ind w:firstLine="420" w:firstLineChars="200"/>
        <w:rPr>
          <w:rFonts w:ascii="宋体" w:hAnsi="宋体" w:cs="宋体"/>
        </w:rPr>
      </w:pPr>
      <w:r>
        <w:rPr>
          <w:rFonts w:hint="eastAsia" w:ascii="宋体" w:hAnsi="宋体" w:cs="宋体"/>
        </w:rPr>
        <w:t>一、评分选取方式</w:t>
      </w:r>
    </w:p>
    <w:p>
      <w:pPr>
        <w:spacing w:line="360" w:lineRule="auto"/>
        <w:ind w:firstLine="420" w:firstLineChars="200"/>
        <w:rPr>
          <w:rFonts w:ascii="宋体" w:hAnsi="宋体" w:cs="宋体"/>
        </w:rPr>
      </w:pPr>
      <w:r>
        <w:rPr>
          <w:rFonts w:hint="eastAsia" w:ascii="宋体" w:hAnsi="宋体" w:cs="宋体"/>
        </w:rPr>
        <w:t>本次采购采用【自行采购的综合选取】的方式确定中选机构。评分小组先对报名的供应商进行初步评审；然后对满足初步评审要求的供应商，按照详细评审规定的评分标准进行打分。</w:t>
      </w:r>
    </w:p>
    <w:p>
      <w:pPr>
        <w:spacing w:line="360" w:lineRule="auto"/>
        <w:ind w:firstLine="420" w:firstLineChars="200"/>
        <w:rPr>
          <w:rFonts w:ascii="宋体" w:hAnsi="宋体" w:cs="宋体"/>
        </w:rPr>
      </w:pPr>
      <w:r>
        <w:rPr>
          <w:rFonts w:hint="eastAsia" w:ascii="宋体" w:hAnsi="宋体" w:cs="宋体"/>
        </w:rPr>
        <w:t>评分小组成员对供应商的详细评审各评审因素进行评分，计算出各评审因素的算术平均值后合计总和作为该供应商的得分，并按得分由高到低顺序推荐中选机构。</w:t>
      </w:r>
    </w:p>
    <w:p>
      <w:pPr>
        <w:spacing w:line="360" w:lineRule="auto"/>
        <w:ind w:firstLine="420" w:firstLineChars="200"/>
        <w:rPr>
          <w:rFonts w:ascii="宋体" w:hAnsi="宋体" w:cs="宋体"/>
        </w:rPr>
      </w:pPr>
      <w:r>
        <w:rPr>
          <w:rFonts w:hint="eastAsia" w:ascii="仿宋_GB2312" w:hAnsi="华文仿宋"/>
          <w:szCs w:val="32"/>
        </w:rPr>
        <w:t>如有两家或以上供应商的综合得分相同且得分均为最高，</w:t>
      </w:r>
      <w:r>
        <w:rPr>
          <w:rFonts w:hint="eastAsia" w:ascii="宋体" w:hAnsi="宋体" w:cs="宋体"/>
        </w:rPr>
        <w:t>评分小组视供应商的情况综合比较，投票确定其名次。</w:t>
      </w:r>
    </w:p>
    <w:p>
      <w:pPr>
        <w:spacing w:line="360" w:lineRule="auto"/>
        <w:ind w:firstLine="420" w:firstLineChars="200"/>
      </w:pPr>
      <w:r>
        <w:rPr>
          <w:rFonts w:hint="eastAsia" w:ascii="宋体" w:hAnsi="宋体" w:cs="宋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pPr>
              <w:spacing w:line="360" w:lineRule="auto"/>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pPr>
              <w:adjustRightInd/>
              <w:spacing w:line="360" w:lineRule="auto"/>
              <w:jc w:val="both"/>
              <w:textAlignment w:val="auto"/>
              <w:rPr>
                <w:rFonts w:hint="eastAsia"/>
                <w:sz w:val="21"/>
                <w:szCs w:val="21"/>
              </w:rPr>
            </w:pPr>
            <w:r>
              <w:rPr>
                <w:rFonts w:hint="eastAsia" w:ascii="宋体" w:hAnsi="宋体" w:cs="宋体"/>
              </w:rPr>
              <w:t>（2）具备相应行业资质；</w:t>
            </w:r>
          </w:p>
          <w:p>
            <w:pPr>
              <w:pStyle w:val="3"/>
              <w:spacing w:line="360" w:lineRule="auto"/>
              <w:rPr>
                <w:rFonts w:hint="eastAsia"/>
                <w:sz w:val="21"/>
                <w:szCs w:val="21"/>
              </w:rPr>
            </w:pPr>
            <w:r>
              <w:rPr>
                <w:rStyle w:val="20"/>
                <w:rFonts w:hint="eastAsia"/>
                <w:lang w:val="en-US"/>
              </w:rPr>
              <w:t>（3）</w:t>
            </w:r>
            <w:r>
              <w:rPr>
                <w:rFonts w:hint="eastAsia"/>
                <w:sz w:val="21"/>
                <w:szCs w:val="21"/>
              </w:rPr>
              <w:t>中华人民共和国经营</w:t>
            </w:r>
            <w:r>
              <w:rPr>
                <w:rFonts w:hint="eastAsia"/>
                <w:sz w:val="21"/>
                <w:szCs w:val="21"/>
                <w:lang w:val="en-US" w:eastAsia="zh-CN"/>
              </w:rPr>
              <w:t>油品</w:t>
            </w:r>
            <w:r>
              <w:rPr>
                <w:rFonts w:hint="eastAsia"/>
                <w:sz w:val="21"/>
                <w:szCs w:val="21"/>
              </w:rPr>
              <w:t>业务许可证</w:t>
            </w:r>
            <w:r>
              <w:rPr>
                <w:rStyle w:val="20"/>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（1）供应商在国家企业信用信息公示系统中未被列入严重违法失信企业名单；</w:t>
            </w:r>
          </w:p>
          <w:p>
            <w:pPr>
              <w:adjustRightInd/>
              <w:spacing w:line="360" w:lineRule="auto"/>
              <w:jc w:val="both"/>
              <w:textAlignment w:val="auto"/>
              <w:rPr>
                <w:rFonts w:ascii="宋体" w:hAnsi="宋体" w:cs="宋体"/>
              </w:rPr>
            </w:pPr>
            <w:r>
              <w:rPr>
                <w:rFonts w:hint="eastAsia" w:ascii="宋体" w:hAnsi="宋体" w:cs="宋体"/>
              </w:rPr>
              <w:t>（2）在“信用中国”网站或地方信用网站的信用信息报告无不良记录。</w:t>
            </w:r>
          </w:p>
          <w:p>
            <w:pPr>
              <w:adjustRightInd/>
              <w:spacing w:before="156" w:beforeLines="50" w:line="360" w:lineRule="auto"/>
              <w:jc w:val="both"/>
              <w:textAlignment w:val="auto"/>
            </w:pPr>
            <w:r>
              <w:rPr>
                <w:rFonts w:hint="eastAsia" w:ascii="宋体" w:hAnsi="宋体" w:cs="宋体"/>
              </w:rPr>
              <w:t>注：如供应商未提交上述证明材料，则由评选小组核查；如供应商为事业单位，无法提供国家企业信用信息公示系统截图，则视作通过。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pPr>
              <w:adjustRightInd/>
              <w:spacing w:line="360" w:lineRule="auto"/>
              <w:jc w:val="both"/>
              <w:rPr>
                <w:rFonts w:ascii="宋体" w:hAnsi="宋体" w:cs="宋体"/>
              </w:rPr>
            </w:pPr>
            <w:r>
              <w:rPr>
                <w:rFonts w:hint="eastAsia" w:cs="宋体"/>
                <w:lang w:val="en-US" w:eastAsia="zh-CN"/>
              </w:rPr>
              <w:t>油品优惠</w:t>
            </w:r>
            <w:r>
              <w:rPr>
                <w:rFonts w:hint="eastAsia" w:cs="宋体"/>
              </w:rPr>
              <w:t>在合理报价</w:t>
            </w:r>
            <w:r>
              <w:rPr>
                <w:rFonts w:cs="宋体"/>
              </w:rPr>
              <w:t>区间范围内。</w:t>
            </w:r>
          </w:p>
        </w:tc>
      </w:tr>
    </w:tbl>
    <w:p>
      <w:pPr>
        <w:pStyle w:val="3"/>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ind w:firstLine="420" w:firstLineChars="200"/>
      </w:pPr>
      <w:r>
        <w:rPr>
          <w:rFonts w:hint="eastAsia" w:ascii="宋体" w:hAnsi="宋体" w:cs="宋体"/>
        </w:rPr>
        <w:t>三、详细评审</w:t>
      </w:r>
    </w:p>
    <w:tbl>
      <w:tblPr>
        <w:tblStyle w:val="8"/>
        <w:tblW w:w="8660" w:type="dxa"/>
        <w:jc w:val="center"/>
        <w:tblLayout w:type="fixed"/>
        <w:tblCellMar>
          <w:top w:w="0" w:type="dxa"/>
          <w:left w:w="10" w:type="dxa"/>
          <w:bottom w:w="0" w:type="dxa"/>
          <w:right w:w="10" w:type="dxa"/>
        </w:tblCellMar>
      </w:tblPr>
      <w:tblGrid>
        <w:gridCol w:w="1900"/>
        <w:gridCol w:w="5565"/>
        <w:gridCol w:w="1195"/>
      </w:tblGrid>
      <w:tr>
        <w:tblPrEx>
          <w:tblCellMar>
            <w:top w:w="0" w:type="dxa"/>
            <w:left w:w="10" w:type="dxa"/>
            <w:bottom w:w="0" w:type="dxa"/>
            <w:right w:w="10" w:type="dxa"/>
          </w:tblCellMar>
        </w:tblPrEx>
        <w:trPr>
          <w:trHeight w:val="494" w:hRule="exact"/>
          <w:jc w:val="center"/>
        </w:trPr>
        <w:tc>
          <w:tcPr>
            <w:tcW w:w="1900" w:type="dxa"/>
            <w:tcBorders>
              <w:top w:val="single" w:color="auto" w:sz="4" w:space="0"/>
              <w:left w:val="single" w:color="auto" w:sz="4" w:space="0"/>
              <w:bottom w:val="single" w:color="auto" w:sz="4" w:space="0"/>
            </w:tcBorders>
            <w:shd w:val="clear" w:color="auto" w:fill="FFFFFF"/>
            <w:vAlign w:val="center"/>
          </w:tcPr>
          <w:p>
            <w:pPr>
              <w:spacing w:line="240" w:lineRule="auto"/>
              <w:jc w:val="center"/>
              <w:rPr>
                <w:sz w:val="24"/>
              </w:rPr>
            </w:pPr>
            <w:r>
              <w:rPr>
                <w:rStyle w:val="20"/>
                <w:sz w:val="24"/>
              </w:rPr>
              <w:t>评分项目</w:t>
            </w:r>
          </w:p>
        </w:tc>
        <w:tc>
          <w:tcPr>
            <w:tcW w:w="5565" w:type="dxa"/>
            <w:tcBorders>
              <w:top w:val="single" w:color="auto" w:sz="4" w:space="0"/>
              <w:left w:val="single" w:color="auto" w:sz="4" w:space="0"/>
              <w:right w:val="single" w:color="auto" w:sz="4" w:space="0"/>
            </w:tcBorders>
            <w:shd w:val="clear" w:color="auto" w:fill="FFFFFF"/>
            <w:vAlign w:val="center"/>
          </w:tcPr>
          <w:p>
            <w:pPr>
              <w:spacing w:line="240" w:lineRule="auto"/>
              <w:jc w:val="center"/>
              <w:rPr>
                <w:sz w:val="24"/>
              </w:rPr>
            </w:pPr>
            <w:r>
              <w:rPr>
                <w:rStyle w:val="20"/>
                <w:sz w:val="24"/>
              </w:rPr>
              <w:t>评标指标</w:t>
            </w:r>
          </w:p>
        </w:tc>
        <w:tc>
          <w:tcPr>
            <w:tcW w:w="1195"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sz w:val="24"/>
              </w:rPr>
            </w:pPr>
            <w:r>
              <w:rPr>
                <w:rStyle w:val="20"/>
                <w:rFonts w:hint="eastAsia"/>
                <w:sz w:val="24"/>
              </w:rPr>
              <w:t>得分</w:t>
            </w:r>
          </w:p>
        </w:tc>
      </w:tr>
      <w:tr>
        <w:tblPrEx>
          <w:tblCellMar>
            <w:top w:w="0" w:type="dxa"/>
            <w:left w:w="10" w:type="dxa"/>
            <w:bottom w:w="0" w:type="dxa"/>
            <w:right w:w="10" w:type="dxa"/>
          </w:tblCellMar>
        </w:tblPrEx>
        <w:trPr>
          <w:trHeight w:val="2492" w:hRule="exact"/>
          <w:jc w:val="center"/>
        </w:trPr>
        <w:tc>
          <w:tcPr>
            <w:tcW w:w="1900" w:type="dxa"/>
            <w:tcBorders>
              <w:top w:val="single" w:color="auto" w:sz="4" w:space="0"/>
              <w:left w:val="single" w:color="auto" w:sz="4" w:space="0"/>
              <w:bottom w:val="single" w:color="auto" w:sz="4" w:space="0"/>
            </w:tcBorders>
            <w:shd w:val="clear" w:color="auto" w:fill="FFFFFF"/>
            <w:vAlign w:val="center"/>
          </w:tcPr>
          <w:p>
            <w:pPr>
              <w:spacing w:line="240" w:lineRule="auto"/>
              <w:jc w:val="center"/>
              <w:rPr>
                <w:rFonts w:hint="default"/>
                <w:lang w:val="en-US"/>
              </w:rPr>
            </w:pPr>
            <w:r>
              <w:rPr>
                <w:rStyle w:val="20"/>
                <w:rFonts w:hint="eastAsia"/>
                <w:lang w:val="en-US" w:eastAsia="zh-CN"/>
              </w:rPr>
              <w:t>服务承诺（15分）</w:t>
            </w:r>
          </w:p>
        </w:tc>
        <w:tc>
          <w:tcPr>
            <w:tcW w:w="5565" w:type="dxa"/>
            <w:tcBorders>
              <w:top w:val="single" w:color="auto" w:sz="4" w:space="0"/>
              <w:left w:val="single" w:color="auto" w:sz="4" w:space="0"/>
              <w:right w:val="single" w:color="auto" w:sz="4" w:space="0"/>
            </w:tcBorders>
            <w:shd w:val="clear" w:color="auto" w:fill="FFFFFF"/>
          </w:tcPr>
          <w:p>
            <w:pPr>
              <w:spacing w:line="240" w:lineRule="auto"/>
              <w:rPr>
                <w:rStyle w:val="20"/>
                <w:rFonts w:hint="default"/>
                <w:lang w:val="en-US"/>
              </w:rPr>
            </w:pPr>
            <w:r>
              <w:rPr>
                <w:rStyle w:val="20"/>
              </w:rPr>
              <w:t>考查各</w:t>
            </w:r>
            <w:r>
              <w:rPr>
                <w:rStyle w:val="20"/>
                <w:rFonts w:hint="eastAsia"/>
              </w:rPr>
              <w:t>供应商</w:t>
            </w:r>
            <w:r>
              <w:rPr>
                <w:rStyle w:val="20"/>
                <w:rFonts w:hint="eastAsia"/>
                <w:lang w:val="en-US"/>
              </w:rPr>
              <w:t>对本项目</w:t>
            </w:r>
            <w:r>
              <w:rPr>
                <w:rStyle w:val="20"/>
              </w:rPr>
              <w:t>的服务</w:t>
            </w:r>
            <w:r>
              <w:rPr>
                <w:rStyle w:val="20"/>
                <w:rFonts w:hint="eastAsia"/>
                <w:lang w:val="en-US"/>
              </w:rPr>
              <w:t>承诺：</w:t>
            </w:r>
          </w:p>
          <w:p>
            <w:pPr>
              <w:spacing w:line="240" w:lineRule="auto"/>
              <w:rPr>
                <w:rStyle w:val="20"/>
                <w:rFonts w:hint="default"/>
                <w:lang w:val="en-US"/>
              </w:rPr>
            </w:pPr>
            <w:r>
              <w:rPr>
                <w:rStyle w:val="20"/>
              </w:rPr>
              <w:t>优:</w:t>
            </w:r>
            <w:r>
              <w:rPr>
                <w:rStyle w:val="20"/>
                <w:rFonts w:hint="eastAsia"/>
                <w:lang w:val="en-US"/>
              </w:rPr>
              <w:t>含加油服务质量承诺、安全生产方案、油品质量保证等的为优，得14~20分。</w:t>
            </w:r>
          </w:p>
          <w:p>
            <w:pPr>
              <w:spacing w:line="240" w:lineRule="auto"/>
              <w:rPr>
                <w:rStyle w:val="20"/>
              </w:rPr>
            </w:pPr>
            <w:r>
              <w:rPr>
                <w:rStyle w:val="20"/>
              </w:rPr>
              <w:t>良:</w:t>
            </w:r>
            <w:r>
              <w:rPr>
                <w:rStyle w:val="20"/>
                <w:rFonts w:hint="eastAsia"/>
                <w:lang w:val="en-US"/>
              </w:rPr>
              <w:t>含加油服务质量承诺、安全生产方案、油品质量保证其中的一至两项为良，得8~13分</w:t>
            </w:r>
            <w:r>
              <w:rPr>
                <w:rStyle w:val="20"/>
              </w:rPr>
              <w:t>；</w:t>
            </w:r>
          </w:p>
          <w:p>
            <w:pPr>
              <w:spacing w:line="240" w:lineRule="auto"/>
            </w:pPr>
            <w:r>
              <w:rPr>
                <w:rStyle w:val="20"/>
              </w:rPr>
              <w:t>差:</w:t>
            </w:r>
            <w:r>
              <w:rPr>
                <w:rStyle w:val="20"/>
                <w:rFonts w:hint="eastAsia"/>
                <w:lang w:val="en-US"/>
              </w:rPr>
              <w:t>以上三项全无，视情况得0~7分</w:t>
            </w:r>
            <w:r>
              <w:rPr>
                <w:rStyle w:val="20"/>
              </w:rPr>
              <w:t>。</w:t>
            </w:r>
          </w:p>
        </w:tc>
        <w:tc>
          <w:tcPr>
            <w:tcW w:w="1195"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2492" w:hRule="exact"/>
          <w:jc w:val="center"/>
        </w:trPr>
        <w:tc>
          <w:tcPr>
            <w:tcW w:w="1900" w:type="dxa"/>
            <w:tcBorders>
              <w:top w:val="single" w:color="auto" w:sz="4" w:space="0"/>
              <w:left w:val="single" w:color="auto" w:sz="4" w:space="0"/>
              <w:bottom w:val="single" w:color="auto" w:sz="4" w:space="0"/>
            </w:tcBorders>
            <w:shd w:val="clear" w:color="auto" w:fill="FFFFFF"/>
            <w:vAlign w:val="center"/>
          </w:tcPr>
          <w:p>
            <w:pPr>
              <w:spacing w:line="240" w:lineRule="auto"/>
              <w:jc w:val="center"/>
              <w:rPr>
                <w:rStyle w:val="20"/>
                <w:rFonts w:hint="default"/>
                <w:lang w:val="en-US" w:eastAsia="zh-CN"/>
              </w:rPr>
            </w:pPr>
            <w:r>
              <w:rPr>
                <w:rStyle w:val="20"/>
                <w:rFonts w:hint="eastAsia"/>
                <w:lang w:val="en-US" w:eastAsia="zh-CN"/>
              </w:rPr>
              <w:t>加油站点（25分）</w:t>
            </w:r>
          </w:p>
        </w:tc>
        <w:tc>
          <w:tcPr>
            <w:tcW w:w="5565" w:type="dxa"/>
            <w:tcBorders>
              <w:top w:val="single" w:color="auto" w:sz="4" w:space="0"/>
              <w:left w:val="single" w:color="auto" w:sz="4" w:space="0"/>
              <w:right w:val="single" w:color="auto" w:sz="4" w:space="0"/>
            </w:tcBorders>
            <w:shd w:val="clear" w:color="auto" w:fill="FFFFFF"/>
          </w:tcPr>
          <w:p>
            <w:pPr>
              <w:spacing w:line="240" w:lineRule="auto"/>
              <w:rPr>
                <w:rStyle w:val="20"/>
                <w:rFonts w:hint="eastAsia"/>
                <w:lang w:val="en-US"/>
              </w:rPr>
            </w:pPr>
            <w:r>
              <w:rPr>
                <w:rStyle w:val="20"/>
                <w:rFonts w:hint="eastAsia"/>
                <w:lang w:val="en-US" w:eastAsia="zh-CN"/>
              </w:rPr>
              <w:t>考查供应商加油站点分布：</w:t>
            </w:r>
            <w:r>
              <w:rPr>
                <w:rStyle w:val="20"/>
                <w:rFonts w:hint="eastAsia"/>
                <w:lang w:val="en-US" w:eastAsia="zh-CN"/>
              </w:rPr>
              <w:br w:type="textWrapping"/>
            </w:r>
            <w:r>
              <w:rPr>
                <w:rStyle w:val="20"/>
                <w:rFonts w:hint="eastAsia"/>
                <w:lang w:val="en-US" w:eastAsia="zh-CN"/>
              </w:rPr>
              <w:t>优：距离江门市鹤山公路局养护中心宅梧公路养护站、江门市鹤山公路局养护中心共和公路养护站、江门市鹤山公路局养护中心址山公路养护站（将军陂对面）、江门市公路局养护中心以及江门市鹤山公路局养护中心龙口道班10公里范围内分别都有加油站</w:t>
            </w:r>
            <w:r>
              <w:rPr>
                <w:rStyle w:val="20"/>
                <w:rFonts w:hint="eastAsia"/>
                <w:lang w:val="en-US"/>
              </w:rPr>
              <w:t>，得25分。</w:t>
            </w:r>
          </w:p>
          <w:p>
            <w:pPr>
              <w:spacing w:line="240" w:lineRule="auto"/>
              <w:rPr>
                <w:rStyle w:val="20"/>
                <w:rFonts w:hint="eastAsia"/>
                <w:lang w:val="en-US"/>
              </w:rPr>
            </w:pPr>
            <w:r>
              <w:rPr>
                <w:rStyle w:val="20"/>
                <w:rFonts w:hint="eastAsia"/>
                <w:lang w:val="en-US"/>
              </w:rPr>
              <w:t>良：其中3-4个点满足10分。</w:t>
            </w:r>
          </w:p>
          <w:p>
            <w:pPr>
              <w:spacing w:line="240" w:lineRule="auto"/>
              <w:rPr>
                <w:rStyle w:val="20"/>
                <w:rFonts w:hint="default"/>
                <w:lang w:val="en-US"/>
              </w:rPr>
            </w:pPr>
            <w:r>
              <w:rPr>
                <w:rStyle w:val="20"/>
                <w:rFonts w:hint="eastAsia"/>
                <w:lang w:val="en-US"/>
              </w:rPr>
              <w:t>差：1-2个点满足5分。</w:t>
            </w:r>
          </w:p>
        </w:tc>
        <w:tc>
          <w:tcPr>
            <w:tcW w:w="1195"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2595" w:hRule="exact"/>
          <w:jc w:val="center"/>
        </w:trPr>
        <w:tc>
          <w:tcPr>
            <w:tcW w:w="1900" w:type="dxa"/>
            <w:tcBorders>
              <w:top w:val="single" w:color="auto" w:sz="4" w:space="0"/>
              <w:left w:val="single" w:color="auto" w:sz="4" w:space="0"/>
              <w:bottom w:val="single" w:color="auto" w:sz="4" w:space="0"/>
            </w:tcBorders>
            <w:shd w:val="clear" w:color="auto" w:fill="FFFFFF"/>
            <w:vAlign w:val="center"/>
          </w:tcPr>
          <w:p>
            <w:pPr>
              <w:spacing w:line="240" w:lineRule="auto"/>
              <w:jc w:val="center"/>
            </w:pPr>
            <w:r>
              <w:rPr>
                <w:rStyle w:val="20"/>
                <w:rFonts w:hint="eastAsia"/>
              </w:rPr>
              <w:t>报价</w:t>
            </w:r>
            <w:r>
              <w:rPr>
                <w:rStyle w:val="20"/>
                <w:rFonts w:hint="eastAsia"/>
                <w:lang w:eastAsia="en-US" w:bidi="en-US"/>
              </w:rPr>
              <w:t>（</w:t>
            </w:r>
            <w:r>
              <w:rPr>
                <w:rStyle w:val="20"/>
                <w:rFonts w:hint="eastAsia"/>
                <w:lang w:val="en-US" w:eastAsia="zh-CN" w:bidi="en-US"/>
              </w:rPr>
              <w:t>60</w:t>
            </w:r>
            <w:r>
              <w:rPr>
                <w:rStyle w:val="20"/>
              </w:rPr>
              <w:t>分）</w:t>
            </w:r>
          </w:p>
        </w:tc>
        <w:tc>
          <w:tcPr>
            <w:tcW w:w="5565" w:type="dxa"/>
            <w:tcBorders>
              <w:top w:val="single" w:color="auto" w:sz="4" w:space="0"/>
              <w:left w:val="single" w:color="auto" w:sz="4" w:space="0"/>
              <w:bottom w:val="single" w:color="auto" w:sz="4" w:space="0"/>
              <w:right w:val="single" w:color="auto" w:sz="4" w:space="0"/>
            </w:tcBorders>
            <w:shd w:val="clear" w:color="auto" w:fill="FFFFFF"/>
          </w:tcPr>
          <w:p>
            <w:pPr>
              <w:spacing w:line="360" w:lineRule="auto"/>
              <w:jc w:val="both"/>
              <w:rPr>
                <w:rStyle w:val="20"/>
                <w:lang w:val="en-US"/>
              </w:rPr>
            </w:pPr>
          </w:p>
          <w:p>
            <w:pPr>
              <w:spacing w:line="360" w:lineRule="auto"/>
              <w:jc w:val="both"/>
              <w:rPr>
                <w:rStyle w:val="20"/>
              </w:rPr>
            </w:pPr>
            <w:r>
              <w:rPr>
                <w:rStyle w:val="20"/>
              </w:rPr>
              <w:t>报价得分=</w:t>
            </w:r>
            <w:r>
              <w:rPr>
                <w:rStyle w:val="20"/>
                <w:rFonts w:hint="eastAsia"/>
              </w:rPr>
              <w:t>（</w:t>
            </w:r>
            <w:r>
              <w:rPr>
                <w:rStyle w:val="20"/>
                <w:rFonts w:hint="eastAsia"/>
                <w:lang w:val="en-US"/>
              </w:rPr>
              <w:t>加油优惠</w:t>
            </w:r>
            <w:r>
              <w:rPr>
                <w:rStyle w:val="20"/>
                <w:rFonts w:hint="eastAsia"/>
              </w:rPr>
              <w:t>÷</w:t>
            </w:r>
            <w:r>
              <w:rPr>
                <w:rStyle w:val="20"/>
              </w:rPr>
              <w:t>评标</w:t>
            </w:r>
            <w:bookmarkStart w:id="0" w:name="_GoBack"/>
            <w:bookmarkEnd w:id="0"/>
            <w:r>
              <w:rPr>
                <w:rStyle w:val="20"/>
              </w:rPr>
              <w:t>基准价</w:t>
            </w:r>
            <w:r>
              <w:rPr>
                <w:rStyle w:val="20"/>
                <w:rFonts w:hint="eastAsia"/>
                <w:lang w:val="en-US"/>
              </w:rPr>
              <w:t>）*6</w:t>
            </w:r>
            <w:r>
              <w:rPr>
                <w:rStyle w:val="20"/>
                <w:rFonts w:hint="eastAsia"/>
              </w:rPr>
              <w:t>0</w:t>
            </w:r>
          </w:p>
          <w:p>
            <w:pPr>
              <w:pStyle w:val="3"/>
              <w:numPr>
                <w:ilvl w:val="0"/>
                <w:numId w:val="1"/>
              </w:numPr>
              <w:spacing w:line="360" w:lineRule="auto"/>
              <w:ind w:left="0" w:firstLine="0"/>
              <w:jc w:val="both"/>
              <w:rPr>
                <w:sz w:val="22"/>
                <w:szCs w:val="22"/>
                <w:lang w:val="zh-CN" w:bidi="zh-CN"/>
              </w:rPr>
            </w:pPr>
            <w:r>
              <w:rPr>
                <w:rFonts w:hint="eastAsia"/>
                <w:sz w:val="22"/>
                <w:szCs w:val="22"/>
                <w:lang w:val="zh-CN" w:bidi="zh-CN"/>
              </w:rPr>
              <w:t>以所有合格报价中优惠最</w:t>
            </w:r>
            <w:r>
              <w:rPr>
                <w:rFonts w:hint="eastAsia"/>
                <w:sz w:val="22"/>
                <w:szCs w:val="22"/>
                <w:lang w:val="en-US" w:bidi="zh-CN"/>
              </w:rPr>
              <w:t>高</w:t>
            </w:r>
            <w:r>
              <w:rPr>
                <w:rFonts w:hint="eastAsia"/>
                <w:sz w:val="22"/>
                <w:szCs w:val="22"/>
                <w:lang w:val="zh-CN" w:bidi="zh-CN"/>
              </w:rPr>
              <w:t>的为评标基准价。</w:t>
            </w:r>
          </w:p>
          <w:p>
            <w:pPr>
              <w:pStyle w:val="3"/>
              <w:numPr>
                <w:ilvl w:val="0"/>
                <w:numId w:val="1"/>
              </w:numPr>
              <w:spacing w:line="360" w:lineRule="auto"/>
              <w:ind w:left="0" w:firstLine="0"/>
              <w:jc w:val="both"/>
              <w:rPr>
                <w:snapToGrid w:val="0"/>
                <w:lang w:val="zh-CN" w:bidi="zh-CN"/>
              </w:rPr>
            </w:pPr>
            <w:r>
              <w:rPr>
                <w:rFonts w:hint="eastAsia"/>
                <w:snapToGrid w:val="0"/>
                <w:sz w:val="22"/>
                <w:szCs w:val="22"/>
              </w:rPr>
              <w:t>得分计算保留到小数点后1位。</w:t>
            </w:r>
          </w:p>
        </w:tc>
        <w:tc>
          <w:tcPr>
            <w:tcW w:w="119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rPr>
            </w:pPr>
          </w:p>
        </w:tc>
      </w:tr>
      <w:tr>
        <w:tblPrEx>
          <w:tblCellMar>
            <w:top w:w="0" w:type="dxa"/>
            <w:left w:w="10" w:type="dxa"/>
            <w:bottom w:w="0" w:type="dxa"/>
            <w:right w:w="10" w:type="dxa"/>
          </w:tblCellMar>
        </w:tblPrEx>
        <w:trPr>
          <w:trHeight w:val="737" w:hRule="exact"/>
          <w:jc w:val="center"/>
        </w:trPr>
        <w:tc>
          <w:tcPr>
            <w:tcW w:w="746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lang w:val="en-US"/>
              </w:rPr>
            </w:pPr>
            <w:r>
              <w:rPr>
                <w:rStyle w:val="20"/>
                <w:rFonts w:hint="eastAsia"/>
                <w:lang w:val="en-US"/>
              </w:rPr>
              <w:t>合计（100分）</w:t>
            </w:r>
          </w:p>
        </w:tc>
        <w:tc>
          <w:tcPr>
            <w:tcW w:w="119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rPr>
            </w:pPr>
          </w:p>
        </w:tc>
      </w:tr>
    </w:tbl>
    <w:p>
      <w:pPr>
        <w:pStyle w:val="3"/>
      </w:pPr>
    </w:p>
    <w:sectPr>
      <w:pgSz w:w="11906" w:h="16838"/>
      <w:pgMar w:top="720" w:right="720" w:bottom="720" w:left="72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76DCA"/>
    <w:multiLevelType w:val="multilevel"/>
    <w:tmpl w:val="06A76DCA"/>
    <w:lvl w:ilvl="0" w:tentative="0">
      <w:start w:val="1"/>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 w:name="KGWebUrl" w:val="http://19.121.241.45/seeyon/officeservlet"/>
  </w:docVars>
  <w:rsids>
    <w:rsidRoot w:val="5FDA3E7F"/>
    <w:rsid w:val="00011AAB"/>
    <w:rsid w:val="000149F6"/>
    <w:rsid w:val="00072B4B"/>
    <w:rsid w:val="0009653E"/>
    <w:rsid w:val="000F6568"/>
    <w:rsid w:val="001203DD"/>
    <w:rsid w:val="00130987"/>
    <w:rsid w:val="0015444C"/>
    <w:rsid w:val="0016305F"/>
    <w:rsid w:val="00171D34"/>
    <w:rsid w:val="00176F8F"/>
    <w:rsid w:val="001A4FDD"/>
    <w:rsid w:val="001A6DE8"/>
    <w:rsid w:val="001D0A6F"/>
    <w:rsid w:val="001D1D4C"/>
    <w:rsid w:val="001E2477"/>
    <w:rsid w:val="001E5A27"/>
    <w:rsid w:val="001F005E"/>
    <w:rsid w:val="001F7FAF"/>
    <w:rsid w:val="00213E18"/>
    <w:rsid w:val="002440D4"/>
    <w:rsid w:val="00256672"/>
    <w:rsid w:val="00271C46"/>
    <w:rsid w:val="0027528A"/>
    <w:rsid w:val="002D5197"/>
    <w:rsid w:val="002F7CD5"/>
    <w:rsid w:val="0031139D"/>
    <w:rsid w:val="003128D6"/>
    <w:rsid w:val="0031665C"/>
    <w:rsid w:val="003305A6"/>
    <w:rsid w:val="00340936"/>
    <w:rsid w:val="00367E9D"/>
    <w:rsid w:val="00375618"/>
    <w:rsid w:val="00391228"/>
    <w:rsid w:val="00410EBE"/>
    <w:rsid w:val="004362A3"/>
    <w:rsid w:val="00436E71"/>
    <w:rsid w:val="00446955"/>
    <w:rsid w:val="004B0DF1"/>
    <w:rsid w:val="004C7A93"/>
    <w:rsid w:val="004F1366"/>
    <w:rsid w:val="004F60CF"/>
    <w:rsid w:val="00514ABA"/>
    <w:rsid w:val="005272B6"/>
    <w:rsid w:val="00532A2D"/>
    <w:rsid w:val="00581288"/>
    <w:rsid w:val="005A34CA"/>
    <w:rsid w:val="00604D0E"/>
    <w:rsid w:val="00620F92"/>
    <w:rsid w:val="00626FA1"/>
    <w:rsid w:val="0068795D"/>
    <w:rsid w:val="006A0419"/>
    <w:rsid w:val="006D6701"/>
    <w:rsid w:val="006D6B97"/>
    <w:rsid w:val="006E7315"/>
    <w:rsid w:val="006F6D61"/>
    <w:rsid w:val="0074383E"/>
    <w:rsid w:val="00746C63"/>
    <w:rsid w:val="00755341"/>
    <w:rsid w:val="007B05B0"/>
    <w:rsid w:val="007D6EE2"/>
    <w:rsid w:val="007E18D4"/>
    <w:rsid w:val="007F5017"/>
    <w:rsid w:val="008550E0"/>
    <w:rsid w:val="00882A81"/>
    <w:rsid w:val="00884D15"/>
    <w:rsid w:val="008B5178"/>
    <w:rsid w:val="008E3E6D"/>
    <w:rsid w:val="008F6626"/>
    <w:rsid w:val="0090735E"/>
    <w:rsid w:val="009658AD"/>
    <w:rsid w:val="00970F05"/>
    <w:rsid w:val="00984883"/>
    <w:rsid w:val="009D2951"/>
    <w:rsid w:val="009E0EBA"/>
    <w:rsid w:val="00A13B83"/>
    <w:rsid w:val="00A26C31"/>
    <w:rsid w:val="00A359D3"/>
    <w:rsid w:val="00A42A1E"/>
    <w:rsid w:val="00A918FB"/>
    <w:rsid w:val="00AA1788"/>
    <w:rsid w:val="00AC52C5"/>
    <w:rsid w:val="00AD79DB"/>
    <w:rsid w:val="00B17CC6"/>
    <w:rsid w:val="00B4119B"/>
    <w:rsid w:val="00B4439D"/>
    <w:rsid w:val="00B52BF1"/>
    <w:rsid w:val="00B5675C"/>
    <w:rsid w:val="00B614E0"/>
    <w:rsid w:val="00B6735B"/>
    <w:rsid w:val="00B86BA6"/>
    <w:rsid w:val="00C20E22"/>
    <w:rsid w:val="00C25867"/>
    <w:rsid w:val="00C305B4"/>
    <w:rsid w:val="00C63139"/>
    <w:rsid w:val="00C809AA"/>
    <w:rsid w:val="00CC1947"/>
    <w:rsid w:val="00CC6EBF"/>
    <w:rsid w:val="00CE3524"/>
    <w:rsid w:val="00CF0E3A"/>
    <w:rsid w:val="00D16DD7"/>
    <w:rsid w:val="00D42ABC"/>
    <w:rsid w:val="00D94F86"/>
    <w:rsid w:val="00DA567B"/>
    <w:rsid w:val="00DA7D8F"/>
    <w:rsid w:val="00DB56C0"/>
    <w:rsid w:val="00DC6FBF"/>
    <w:rsid w:val="00DD2B4D"/>
    <w:rsid w:val="00DD5414"/>
    <w:rsid w:val="00DE486F"/>
    <w:rsid w:val="00DF4637"/>
    <w:rsid w:val="00E0231C"/>
    <w:rsid w:val="00E52328"/>
    <w:rsid w:val="00E600FE"/>
    <w:rsid w:val="00E61E72"/>
    <w:rsid w:val="00EA1092"/>
    <w:rsid w:val="00EA1FC0"/>
    <w:rsid w:val="00EB2796"/>
    <w:rsid w:val="00EF0ED9"/>
    <w:rsid w:val="00EF2FF6"/>
    <w:rsid w:val="00F04171"/>
    <w:rsid w:val="00F100E0"/>
    <w:rsid w:val="00F72AD7"/>
    <w:rsid w:val="053E25DD"/>
    <w:rsid w:val="06F14A10"/>
    <w:rsid w:val="07F31225"/>
    <w:rsid w:val="084D1FF9"/>
    <w:rsid w:val="099F7B11"/>
    <w:rsid w:val="0B432F4B"/>
    <w:rsid w:val="0E823830"/>
    <w:rsid w:val="0F7C39B0"/>
    <w:rsid w:val="10E549A1"/>
    <w:rsid w:val="14DC4224"/>
    <w:rsid w:val="1C4226C5"/>
    <w:rsid w:val="1DC5035B"/>
    <w:rsid w:val="1F4C5CAB"/>
    <w:rsid w:val="20056459"/>
    <w:rsid w:val="211C3D4C"/>
    <w:rsid w:val="252561EE"/>
    <w:rsid w:val="255B30EF"/>
    <w:rsid w:val="270237C3"/>
    <w:rsid w:val="281D3002"/>
    <w:rsid w:val="2B8A3E01"/>
    <w:rsid w:val="2F1422BD"/>
    <w:rsid w:val="2FAC7A81"/>
    <w:rsid w:val="32D56BB5"/>
    <w:rsid w:val="37896B48"/>
    <w:rsid w:val="380A3B51"/>
    <w:rsid w:val="38647A3B"/>
    <w:rsid w:val="3884708A"/>
    <w:rsid w:val="39D07CE9"/>
    <w:rsid w:val="3BDB4E6B"/>
    <w:rsid w:val="3CFB6F84"/>
    <w:rsid w:val="425139E4"/>
    <w:rsid w:val="5211523C"/>
    <w:rsid w:val="58D304A6"/>
    <w:rsid w:val="590B454D"/>
    <w:rsid w:val="595A40EE"/>
    <w:rsid w:val="59BA4C4C"/>
    <w:rsid w:val="5A7B1263"/>
    <w:rsid w:val="5C9D4E93"/>
    <w:rsid w:val="5FDA3E7F"/>
    <w:rsid w:val="724E3EEE"/>
    <w:rsid w:val="76FC2CDD"/>
    <w:rsid w:val="7762625C"/>
    <w:rsid w:val="7A941B60"/>
    <w:rsid w:val="7B8C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Plain Text"/>
    <w:basedOn w:val="1"/>
    <w:qFormat/>
    <w:uiPriority w:val="0"/>
    <w:rPr>
      <w:rFonts w:ascii="宋体" w:hAnsi="Courier New"/>
      <w:kern w:val="0"/>
      <w:sz w:val="20"/>
      <w:szCs w:val="20"/>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2"/>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 w:type="character" w:customStyle="1" w:styleId="20">
    <w:name w:val="正文文本 (2)"/>
    <w:basedOn w:val="10"/>
    <w:qFormat/>
    <w:uiPriority w:val="0"/>
    <w:rPr>
      <w:rFonts w:ascii="宋体" w:hAnsi="宋体" w:eastAsia="宋体" w:cs="宋体"/>
      <w:color w:val="000000"/>
      <w:spacing w:val="1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E91B-8BE7-4488-98ED-8C05A0BA006A}">
  <ds:schemaRefs/>
</ds:datastoreItem>
</file>

<file path=docProps/app.xml><?xml version="1.0" encoding="utf-8"?>
<Properties xmlns="http://schemas.openxmlformats.org/officeDocument/2006/extended-properties" xmlns:vt="http://schemas.openxmlformats.org/officeDocument/2006/docPropsVTypes">
  <Template>Normal</Template>
  <Company>江门市公路局</Company>
  <Pages>2</Pages>
  <Words>816</Words>
  <Characters>839</Characters>
  <Lines>7</Lines>
  <Paragraphs>2</Paragraphs>
  <TotalTime>2</TotalTime>
  <ScaleCrop>false</ScaleCrop>
  <LinksUpToDate>false</LinksUpToDate>
  <CharactersWithSpaces>839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2024-06-19T08:20:00Z</dcterms:created>
  <dc:creator>区展锴</dc:creator>
  <cp:lastModifiedBy>Twixters</cp:lastModifiedBy>
  <cp:lastPrinted>2024-06-25T07:42:00Z</cp:lastPrinted>
  <dcterms:modified xsi:type="dcterms:W3CDTF">2024-08-12T01:36:01Z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E51F24DD40D146BD8ED6324C7F34D17C_13</vt:lpwstr>
  </property>
</Properties>
</file>