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D2DD5">
      <w:pPr>
        <w:spacing w:line="5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江门市新会公路局养护中心车辆定点维修服务</w:t>
      </w:r>
    </w:p>
    <w:p w14:paraId="2DACD7AE">
      <w:pPr>
        <w:spacing w:line="500" w:lineRule="exact"/>
        <w:jc w:val="center"/>
        <w:rPr>
          <w:sz w:val="24"/>
          <w:szCs w:val="24"/>
        </w:rPr>
      </w:pPr>
      <w:r>
        <w:rPr>
          <w:rFonts w:hint="eastAsia" w:ascii="方正小标宋简体" w:hAnsi="方正小标宋简体" w:eastAsia="方正小标宋简体" w:cs="方正小标宋简体"/>
          <w:sz w:val="36"/>
          <w:szCs w:val="36"/>
        </w:rPr>
        <w:t>采购评分标准</w:t>
      </w:r>
    </w:p>
    <w:p w14:paraId="299DC92C">
      <w:pPr>
        <w:pStyle w:val="2"/>
        <w:rPr>
          <w:rFonts w:hAnsi="宋体" w:cs="宋体"/>
        </w:rPr>
      </w:pPr>
    </w:p>
    <w:p w14:paraId="5855970E">
      <w:pPr>
        <w:spacing w:line="360" w:lineRule="auto"/>
        <w:ind w:firstLine="440" w:firstLineChars="200"/>
        <w:rPr>
          <w:rFonts w:ascii="宋体" w:hAnsi="宋体" w:cs="宋体"/>
          <w:sz w:val="22"/>
          <w:szCs w:val="22"/>
        </w:rPr>
      </w:pPr>
      <w:r>
        <w:rPr>
          <w:rFonts w:hint="eastAsia" w:ascii="宋体" w:hAnsi="宋体" w:cs="宋体"/>
          <w:sz w:val="22"/>
          <w:szCs w:val="22"/>
        </w:rPr>
        <w:t>一、评分选取方式</w:t>
      </w:r>
    </w:p>
    <w:p w14:paraId="2B47209D">
      <w:pPr>
        <w:spacing w:line="360" w:lineRule="auto"/>
        <w:ind w:firstLine="440" w:firstLineChars="200"/>
        <w:rPr>
          <w:rFonts w:ascii="宋体" w:hAnsi="宋体" w:cs="宋体"/>
          <w:sz w:val="22"/>
          <w:szCs w:val="22"/>
        </w:rPr>
      </w:pPr>
      <w:r>
        <w:rPr>
          <w:rFonts w:hint="eastAsia" w:ascii="宋体" w:hAnsi="宋体" w:cs="宋体"/>
          <w:sz w:val="22"/>
          <w:szCs w:val="22"/>
        </w:rPr>
        <w:t>本次采购采用【自行采购的综合选取】的方式确定中选单位。评分小组先对报名单位进行初步评审，如满足初步评审要求的报名单位数量少于两家，本项目重新采购；然后对满足初步评审要求的报名单位，</w:t>
      </w:r>
      <w:bookmarkStart w:id="0" w:name="_GoBack"/>
      <w:bookmarkEnd w:id="0"/>
      <w:r>
        <w:rPr>
          <w:rFonts w:hint="eastAsia" w:ascii="宋体" w:hAnsi="宋体" w:cs="宋体"/>
          <w:sz w:val="22"/>
          <w:szCs w:val="22"/>
        </w:rPr>
        <w:t>按照详细评审规定的评分标准进行打分。</w:t>
      </w:r>
    </w:p>
    <w:p w14:paraId="0F507DC8">
      <w:pPr>
        <w:spacing w:line="360" w:lineRule="auto"/>
        <w:ind w:firstLine="440" w:firstLineChars="200"/>
        <w:rPr>
          <w:rFonts w:ascii="宋体" w:hAnsi="宋体" w:cs="宋体"/>
          <w:sz w:val="22"/>
          <w:szCs w:val="22"/>
        </w:rPr>
      </w:pPr>
      <w:r>
        <w:rPr>
          <w:rFonts w:hint="eastAsia" w:ascii="宋体" w:hAnsi="宋体" w:cs="宋体"/>
          <w:sz w:val="22"/>
          <w:szCs w:val="22"/>
        </w:rPr>
        <w:t>评分小组对报名单位的详细评审各评审因素进行评分，计算出各评审因素得分总和作为该报名单位的得分，并按得分由高到低顺序推荐中选单位。</w:t>
      </w:r>
    </w:p>
    <w:p w14:paraId="0F5B05F0">
      <w:pPr>
        <w:spacing w:line="360" w:lineRule="auto"/>
        <w:ind w:firstLine="440" w:firstLineChars="200"/>
        <w:rPr>
          <w:rFonts w:ascii="宋体" w:hAnsi="宋体" w:cs="宋体"/>
          <w:sz w:val="22"/>
          <w:szCs w:val="22"/>
        </w:rPr>
      </w:pPr>
      <w:r>
        <w:rPr>
          <w:rFonts w:hint="eastAsia" w:ascii="宋体" w:hAnsi="宋体" w:cs="宋体"/>
          <w:sz w:val="22"/>
          <w:szCs w:val="22"/>
        </w:rPr>
        <w:t>如有两家或以上报名单位的综合得分相同且得分均为最高，评分小组视报名单位的情况综合比较，投票确定其名次。</w:t>
      </w:r>
    </w:p>
    <w:p w14:paraId="20B7DF9D">
      <w:pPr>
        <w:spacing w:line="360" w:lineRule="auto"/>
        <w:ind w:firstLine="440" w:firstLineChars="200"/>
        <w:rPr>
          <w:sz w:val="22"/>
          <w:szCs w:val="22"/>
        </w:rPr>
      </w:pPr>
      <w:r>
        <w:rPr>
          <w:rFonts w:hint="eastAsia" w:ascii="宋体" w:hAnsi="宋体" w:cs="宋体"/>
          <w:sz w:val="22"/>
          <w:szCs w:val="22"/>
        </w:rPr>
        <w:t>二、初步评审</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6713"/>
      </w:tblGrid>
      <w:tr w14:paraId="5468B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809" w:type="dxa"/>
            <w:shd w:val="clear" w:color="auto" w:fill="auto"/>
            <w:vAlign w:val="center"/>
          </w:tcPr>
          <w:p w14:paraId="516D0565">
            <w:pPr>
              <w:spacing w:line="360" w:lineRule="auto"/>
              <w:jc w:val="center"/>
              <w:rPr>
                <w:rFonts w:ascii="宋体" w:hAnsi="宋体" w:cs="宋体"/>
                <w:b/>
                <w:sz w:val="22"/>
                <w:szCs w:val="22"/>
              </w:rPr>
            </w:pPr>
            <w:r>
              <w:rPr>
                <w:rFonts w:hint="eastAsia" w:ascii="宋体" w:hAnsi="宋体" w:cs="宋体"/>
                <w:b/>
                <w:sz w:val="22"/>
                <w:szCs w:val="22"/>
              </w:rPr>
              <w:t>评审因素</w:t>
            </w:r>
          </w:p>
        </w:tc>
        <w:tc>
          <w:tcPr>
            <w:tcW w:w="6713" w:type="dxa"/>
            <w:shd w:val="clear" w:color="auto" w:fill="auto"/>
            <w:vAlign w:val="center"/>
          </w:tcPr>
          <w:p w14:paraId="32BF0183">
            <w:pPr>
              <w:spacing w:line="360" w:lineRule="auto"/>
              <w:jc w:val="center"/>
              <w:rPr>
                <w:rFonts w:ascii="宋体" w:hAnsi="宋体" w:cs="宋体"/>
                <w:b/>
                <w:sz w:val="22"/>
                <w:szCs w:val="22"/>
              </w:rPr>
            </w:pPr>
            <w:r>
              <w:rPr>
                <w:rFonts w:hint="eastAsia" w:ascii="宋体" w:hAnsi="宋体" w:cs="宋体"/>
                <w:b/>
                <w:sz w:val="22"/>
                <w:szCs w:val="22"/>
              </w:rPr>
              <w:t>评审标准</w:t>
            </w:r>
          </w:p>
        </w:tc>
      </w:tr>
      <w:tr w14:paraId="6DDE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1809" w:type="dxa"/>
            <w:shd w:val="clear" w:color="auto" w:fill="auto"/>
            <w:vAlign w:val="center"/>
          </w:tcPr>
          <w:p w14:paraId="296A9850">
            <w:pPr>
              <w:adjustRightInd/>
              <w:spacing w:line="360" w:lineRule="auto"/>
              <w:jc w:val="center"/>
              <w:rPr>
                <w:rFonts w:ascii="宋体" w:hAnsi="宋体" w:cs="宋体"/>
                <w:sz w:val="22"/>
                <w:szCs w:val="22"/>
              </w:rPr>
            </w:pPr>
            <w:r>
              <w:rPr>
                <w:rFonts w:hint="eastAsia" w:ascii="宋体" w:hAnsi="宋体" w:cs="宋体"/>
                <w:sz w:val="22"/>
                <w:szCs w:val="22"/>
              </w:rPr>
              <w:t>资质</w:t>
            </w:r>
          </w:p>
        </w:tc>
        <w:tc>
          <w:tcPr>
            <w:tcW w:w="6713" w:type="dxa"/>
            <w:shd w:val="clear" w:color="auto" w:fill="auto"/>
            <w:vAlign w:val="center"/>
          </w:tcPr>
          <w:p w14:paraId="532DD901">
            <w:pPr>
              <w:adjustRightInd/>
              <w:spacing w:line="360" w:lineRule="auto"/>
              <w:jc w:val="both"/>
              <w:textAlignment w:val="auto"/>
              <w:rPr>
                <w:rFonts w:ascii="宋体" w:hAnsi="宋体" w:cs="宋体"/>
                <w:sz w:val="22"/>
                <w:szCs w:val="22"/>
              </w:rPr>
            </w:pPr>
            <w:r>
              <w:rPr>
                <w:rFonts w:hint="eastAsia" w:ascii="宋体" w:hAnsi="宋体" w:cs="宋体"/>
                <w:sz w:val="22"/>
                <w:szCs w:val="22"/>
              </w:rPr>
              <w:t>（1）在中华人民共和国境内依法注册的具有合法经营资格的独立法人；</w:t>
            </w:r>
          </w:p>
          <w:p w14:paraId="00DB2F6A">
            <w:pPr>
              <w:adjustRightInd/>
              <w:spacing w:line="360" w:lineRule="auto"/>
              <w:jc w:val="both"/>
              <w:textAlignment w:val="auto"/>
              <w:rPr>
                <w:rFonts w:ascii="宋体" w:hAnsi="宋体" w:cs="宋体"/>
                <w:sz w:val="22"/>
                <w:szCs w:val="22"/>
              </w:rPr>
            </w:pPr>
            <w:r>
              <w:rPr>
                <w:rFonts w:hint="eastAsia" w:ascii="宋体" w:hAnsi="宋体" w:cs="宋体"/>
                <w:sz w:val="22"/>
                <w:szCs w:val="22"/>
              </w:rPr>
              <w:t>（2）具备相应行业资质；</w:t>
            </w:r>
          </w:p>
          <w:p w14:paraId="3A18113C">
            <w:pPr>
              <w:adjustRightInd/>
              <w:spacing w:line="360" w:lineRule="auto"/>
              <w:jc w:val="both"/>
              <w:textAlignment w:val="auto"/>
              <w:rPr>
                <w:rFonts w:ascii="宋体" w:hAnsi="宋体" w:cs="宋体"/>
                <w:sz w:val="22"/>
                <w:szCs w:val="22"/>
              </w:rPr>
            </w:pPr>
            <w:r>
              <w:rPr>
                <w:rFonts w:hint="eastAsia" w:ascii="宋体" w:hAnsi="宋体" w:cs="宋体"/>
                <w:sz w:val="22"/>
                <w:szCs w:val="22"/>
              </w:rPr>
              <w:t>（3）不属于回避单位；</w:t>
            </w:r>
          </w:p>
          <w:p w14:paraId="5C602F29">
            <w:pPr>
              <w:pStyle w:val="2"/>
              <w:spacing w:line="360" w:lineRule="auto"/>
              <w:rPr>
                <w:sz w:val="21"/>
                <w:szCs w:val="21"/>
              </w:rPr>
            </w:pPr>
            <w:r>
              <w:rPr>
                <w:rFonts w:hint="eastAsia"/>
                <w:sz w:val="22"/>
                <w:szCs w:val="22"/>
              </w:rPr>
              <w:t>（4）交通行政主管部门颁发的二类以上（含二类）机动车维修资质。</w:t>
            </w:r>
          </w:p>
        </w:tc>
      </w:tr>
      <w:tr w14:paraId="0346B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trPr>
        <w:tc>
          <w:tcPr>
            <w:tcW w:w="1809" w:type="dxa"/>
            <w:shd w:val="clear" w:color="auto" w:fill="auto"/>
            <w:vAlign w:val="center"/>
          </w:tcPr>
          <w:p w14:paraId="16119A14">
            <w:pPr>
              <w:adjustRightInd/>
              <w:spacing w:line="360" w:lineRule="auto"/>
              <w:jc w:val="center"/>
              <w:rPr>
                <w:rFonts w:ascii="宋体" w:hAnsi="宋体" w:cs="宋体"/>
                <w:sz w:val="22"/>
                <w:szCs w:val="22"/>
              </w:rPr>
            </w:pPr>
            <w:r>
              <w:rPr>
                <w:rFonts w:hint="eastAsia" w:ascii="宋体" w:hAnsi="宋体" w:cs="宋体"/>
                <w:sz w:val="22"/>
                <w:szCs w:val="22"/>
              </w:rPr>
              <w:t>信用</w:t>
            </w:r>
          </w:p>
        </w:tc>
        <w:tc>
          <w:tcPr>
            <w:tcW w:w="6713" w:type="dxa"/>
            <w:shd w:val="clear" w:color="auto" w:fill="auto"/>
            <w:vAlign w:val="center"/>
          </w:tcPr>
          <w:p w14:paraId="2428E528">
            <w:pPr>
              <w:adjustRightInd/>
              <w:spacing w:line="360" w:lineRule="auto"/>
              <w:jc w:val="both"/>
              <w:textAlignment w:val="auto"/>
              <w:rPr>
                <w:rFonts w:ascii="宋体" w:hAnsi="宋体" w:cs="宋体"/>
                <w:sz w:val="22"/>
                <w:szCs w:val="22"/>
              </w:rPr>
            </w:pPr>
            <w:r>
              <w:rPr>
                <w:rFonts w:hint="eastAsia" w:ascii="宋体" w:hAnsi="宋体" w:cs="宋体"/>
                <w:sz w:val="22"/>
                <w:szCs w:val="22"/>
              </w:rPr>
              <w:t>（1）报名单位在国家企业信用信息公示系统中未被列入严重违法失信企业名单；</w:t>
            </w:r>
          </w:p>
          <w:p w14:paraId="4D5D3170">
            <w:pPr>
              <w:adjustRightInd/>
              <w:spacing w:line="360" w:lineRule="auto"/>
              <w:jc w:val="both"/>
              <w:textAlignment w:val="auto"/>
              <w:rPr>
                <w:sz w:val="22"/>
                <w:szCs w:val="22"/>
              </w:rPr>
            </w:pPr>
            <w:r>
              <w:rPr>
                <w:rFonts w:hint="eastAsia" w:ascii="宋体" w:hAnsi="宋体" w:cs="宋体"/>
                <w:sz w:val="22"/>
                <w:szCs w:val="22"/>
              </w:rPr>
              <w:t>（2）报名单位在“信用中国”网站或地方信用网站的信用信息报告无不良记录。</w:t>
            </w:r>
          </w:p>
        </w:tc>
      </w:tr>
      <w:tr w14:paraId="17FB9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1809" w:type="dxa"/>
            <w:shd w:val="clear" w:color="auto" w:fill="auto"/>
            <w:vAlign w:val="center"/>
          </w:tcPr>
          <w:p w14:paraId="3844E30C">
            <w:pPr>
              <w:adjustRightInd/>
              <w:spacing w:line="360" w:lineRule="auto"/>
              <w:jc w:val="center"/>
              <w:rPr>
                <w:rFonts w:ascii="宋体" w:hAnsi="宋体" w:cs="宋体"/>
                <w:sz w:val="22"/>
                <w:szCs w:val="22"/>
              </w:rPr>
            </w:pPr>
            <w:r>
              <w:rPr>
                <w:rFonts w:hint="eastAsia" w:ascii="宋体" w:hAnsi="宋体" w:cs="宋体"/>
                <w:sz w:val="22"/>
                <w:szCs w:val="22"/>
              </w:rPr>
              <w:t>报价</w:t>
            </w:r>
          </w:p>
        </w:tc>
        <w:tc>
          <w:tcPr>
            <w:tcW w:w="6713" w:type="dxa"/>
            <w:shd w:val="clear" w:color="auto" w:fill="auto"/>
            <w:vAlign w:val="center"/>
          </w:tcPr>
          <w:p w14:paraId="5E8D82E0">
            <w:pPr>
              <w:adjustRightInd/>
              <w:spacing w:line="360" w:lineRule="auto"/>
              <w:jc w:val="both"/>
              <w:rPr>
                <w:rFonts w:ascii="宋体" w:hAnsi="宋体" w:cs="宋体"/>
                <w:sz w:val="22"/>
                <w:szCs w:val="22"/>
              </w:rPr>
            </w:pPr>
            <w:r>
              <w:rPr>
                <w:rFonts w:hint="eastAsia" w:cs="宋体"/>
                <w:sz w:val="22"/>
                <w:szCs w:val="22"/>
              </w:rPr>
              <w:t>工时费单价最高限价：50元/小时</w:t>
            </w:r>
            <w:r>
              <w:rPr>
                <w:rFonts w:cs="宋体"/>
                <w:sz w:val="22"/>
                <w:szCs w:val="22"/>
              </w:rPr>
              <w:t>。</w:t>
            </w:r>
          </w:p>
        </w:tc>
      </w:tr>
    </w:tbl>
    <w:p w14:paraId="7279D579">
      <w:pPr>
        <w:pStyle w:val="2"/>
        <w:sectPr>
          <w:pgSz w:w="11906" w:h="16838"/>
          <w:pgMar w:top="1440" w:right="1800" w:bottom="1440" w:left="1800" w:header="851" w:footer="992" w:gutter="0"/>
          <w:cols w:space="720" w:num="1"/>
          <w:docGrid w:type="lines" w:linePitch="312" w:charSpace="0"/>
        </w:sectPr>
      </w:pPr>
    </w:p>
    <w:p w14:paraId="6928B3A0">
      <w:pPr>
        <w:spacing w:line="360" w:lineRule="auto"/>
        <w:ind w:firstLine="420" w:firstLineChars="200"/>
      </w:pPr>
      <w:r>
        <w:rPr>
          <w:rFonts w:hint="eastAsia" w:ascii="宋体" w:hAnsi="宋体" w:cs="宋体"/>
        </w:rPr>
        <w:t>三、详细评审</w:t>
      </w:r>
    </w:p>
    <w:p w14:paraId="2E9C345D">
      <w:pPr>
        <w:spacing w:line="600" w:lineRule="exact"/>
        <w:jc w:val="center"/>
        <w:rPr>
          <w:rFonts w:eastAsia="方正小标宋简体"/>
          <w:bCs/>
          <w:kern w:val="0"/>
          <w:sz w:val="44"/>
          <w:szCs w:val="44"/>
        </w:rPr>
      </w:pPr>
      <w:r>
        <w:rPr>
          <w:rFonts w:hint="eastAsia" w:eastAsia="方正小标宋简体"/>
          <w:bCs/>
          <w:sz w:val="44"/>
          <w:szCs w:val="44"/>
        </w:rPr>
        <w:t>江门市新会公路局养护中心车辆定点维修项目</w:t>
      </w:r>
      <w:r>
        <w:rPr>
          <w:rFonts w:eastAsia="方正小标宋简体"/>
          <w:bCs/>
          <w:kern w:val="0"/>
          <w:sz w:val="44"/>
          <w:szCs w:val="44"/>
        </w:rPr>
        <w:t>评</w:t>
      </w:r>
      <w:r>
        <w:rPr>
          <w:rFonts w:hint="eastAsia" w:eastAsia="方正小标宋简体"/>
          <w:bCs/>
          <w:kern w:val="0"/>
          <w:sz w:val="44"/>
          <w:szCs w:val="44"/>
        </w:rPr>
        <w:t>分</w:t>
      </w:r>
      <w:r>
        <w:rPr>
          <w:rFonts w:eastAsia="方正小标宋简体"/>
          <w:bCs/>
          <w:kern w:val="0"/>
          <w:sz w:val="44"/>
          <w:szCs w:val="44"/>
        </w:rPr>
        <w:t>表</w:t>
      </w:r>
    </w:p>
    <w:tbl>
      <w:tblPr>
        <w:tblStyle w:val="8"/>
        <w:tblW w:w="1585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660"/>
        <w:gridCol w:w="992"/>
        <w:gridCol w:w="10726"/>
        <w:gridCol w:w="1472"/>
      </w:tblGrid>
      <w:tr w14:paraId="5CE18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8" w:hRule="atLeast"/>
          <w:tblHeader/>
          <w:jc w:val="center"/>
        </w:trPr>
        <w:tc>
          <w:tcPr>
            <w:tcW w:w="2660" w:type="dxa"/>
            <w:vAlign w:val="center"/>
          </w:tcPr>
          <w:p w14:paraId="4D90351C">
            <w:pPr>
              <w:widowControl/>
              <w:jc w:val="center"/>
              <w:rPr>
                <w:rFonts w:ascii="宋体" w:hAnsi="宋体" w:cs="黑体"/>
                <w:kern w:val="0"/>
              </w:rPr>
            </w:pPr>
            <w:r>
              <w:rPr>
                <w:rFonts w:hint="eastAsia" w:ascii="宋体" w:hAnsi="宋体" w:cs="黑体"/>
                <w:kern w:val="0"/>
              </w:rPr>
              <w:t>评审项目</w:t>
            </w:r>
          </w:p>
        </w:tc>
        <w:tc>
          <w:tcPr>
            <w:tcW w:w="992" w:type="dxa"/>
            <w:vAlign w:val="center"/>
          </w:tcPr>
          <w:p w14:paraId="19E5D3E1">
            <w:pPr>
              <w:widowControl/>
              <w:jc w:val="center"/>
              <w:rPr>
                <w:rFonts w:ascii="宋体" w:hAnsi="宋体" w:cs="黑体"/>
                <w:kern w:val="0"/>
              </w:rPr>
            </w:pPr>
            <w:r>
              <w:rPr>
                <w:rFonts w:hint="eastAsia" w:ascii="宋体" w:hAnsi="宋体" w:cs="黑体"/>
                <w:kern w:val="0"/>
              </w:rPr>
              <w:t>分值</w:t>
            </w:r>
          </w:p>
        </w:tc>
        <w:tc>
          <w:tcPr>
            <w:tcW w:w="10726" w:type="dxa"/>
            <w:vAlign w:val="center"/>
          </w:tcPr>
          <w:p w14:paraId="173173E9">
            <w:pPr>
              <w:widowControl/>
              <w:jc w:val="center"/>
              <w:rPr>
                <w:rFonts w:ascii="宋体" w:hAnsi="宋体" w:cs="黑体"/>
                <w:kern w:val="0"/>
              </w:rPr>
            </w:pPr>
            <w:r>
              <w:rPr>
                <w:rFonts w:hint="eastAsia" w:ascii="宋体" w:hAnsi="宋体" w:cs="黑体"/>
                <w:kern w:val="0"/>
              </w:rPr>
              <w:t>评审标准分值</w:t>
            </w:r>
          </w:p>
        </w:tc>
        <w:tc>
          <w:tcPr>
            <w:tcW w:w="1472" w:type="dxa"/>
            <w:vAlign w:val="center"/>
          </w:tcPr>
          <w:p w14:paraId="7FE2DEF2">
            <w:pPr>
              <w:widowControl/>
              <w:jc w:val="center"/>
              <w:rPr>
                <w:rFonts w:ascii="宋体" w:hAnsi="宋体" w:cs="黑体"/>
                <w:kern w:val="0"/>
              </w:rPr>
            </w:pPr>
            <w:r>
              <w:rPr>
                <w:rFonts w:hint="eastAsia" w:ascii="宋体" w:hAnsi="宋体" w:cs="黑体"/>
                <w:kern w:val="0"/>
              </w:rPr>
              <w:t>得分</w:t>
            </w:r>
          </w:p>
        </w:tc>
      </w:tr>
      <w:tr w14:paraId="1AEB8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02" w:hRule="atLeast"/>
          <w:jc w:val="center"/>
        </w:trPr>
        <w:tc>
          <w:tcPr>
            <w:tcW w:w="2660" w:type="dxa"/>
            <w:vAlign w:val="center"/>
          </w:tcPr>
          <w:p w14:paraId="10A413C5">
            <w:pPr>
              <w:jc w:val="center"/>
              <w:rPr>
                <w:rFonts w:ascii="宋体" w:hAnsi="宋体"/>
                <w:kern w:val="0"/>
              </w:rPr>
            </w:pPr>
            <w:r>
              <w:rPr>
                <w:rFonts w:hint="eastAsia" w:ascii="宋体" w:hAnsi="宋体"/>
                <w:kern w:val="0"/>
              </w:rPr>
              <w:t>企业</w:t>
            </w:r>
            <w:r>
              <w:rPr>
                <w:rFonts w:ascii="宋体" w:hAnsi="宋体"/>
                <w:kern w:val="0"/>
              </w:rPr>
              <w:t>资质</w:t>
            </w:r>
          </w:p>
        </w:tc>
        <w:tc>
          <w:tcPr>
            <w:tcW w:w="992" w:type="dxa"/>
            <w:vAlign w:val="center"/>
          </w:tcPr>
          <w:p w14:paraId="2A3622C8">
            <w:pPr>
              <w:widowControl/>
              <w:jc w:val="center"/>
              <w:rPr>
                <w:rFonts w:ascii="宋体" w:hAnsi="宋体"/>
                <w:kern w:val="0"/>
              </w:rPr>
            </w:pPr>
            <w:r>
              <w:rPr>
                <w:rFonts w:hint="eastAsia" w:ascii="宋体" w:hAnsi="宋体"/>
                <w:kern w:val="0"/>
              </w:rPr>
              <w:t>5</w:t>
            </w:r>
          </w:p>
        </w:tc>
        <w:tc>
          <w:tcPr>
            <w:tcW w:w="10726" w:type="dxa"/>
            <w:vAlign w:val="center"/>
          </w:tcPr>
          <w:p w14:paraId="578ABE47">
            <w:pPr>
              <w:widowControl/>
              <w:rPr>
                <w:rFonts w:ascii="宋体" w:hAnsi="宋体"/>
                <w:kern w:val="0"/>
              </w:rPr>
            </w:pPr>
            <w:r>
              <w:rPr>
                <w:rFonts w:hint="eastAsia" w:ascii="宋体" w:hAnsi="宋体"/>
                <w:kern w:val="0"/>
              </w:rPr>
              <w:t>具备汽车整车维修的一类维修企业资质的得5分，具备汽车整车维修二类维修企业资质的得4分。</w:t>
            </w:r>
          </w:p>
        </w:tc>
        <w:tc>
          <w:tcPr>
            <w:tcW w:w="1472" w:type="dxa"/>
            <w:vAlign w:val="center"/>
          </w:tcPr>
          <w:p w14:paraId="010BC0A4">
            <w:pPr>
              <w:jc w:val="center"/>
              <w:rPr>
                <w:rFonts w:ascii="宋体" w:hAnsi="宋体"/>
                <w:kern w:val="0"/>
              </w:rPr>
            </w:pPr>
          </w:p>
        </w:tc>
      </w:tr>
      <w:tr w14:paraId="75570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2" w:hRule="atLeast"/>
          <w:jc w:val="center"/>
        </w:trPr>
        <w:tc>
          <w:tcPr>
            <w:tcW w:w="2660" w:type="dxa"/>
            <w:vAlign w:val="center"/>
          </w:tcPr>
          <w:p w14:paraId="2398FAD3">
            <w:pPr>
              <w:jc w:val="center"/>
              <w:rPr>
                <w:rFonts w:hint="eastAsia" w:ascii="宋体" w:hAnsi="宋体" w:eastAsia="宋体"/>
                <w:kern w:val="0"/>
                <w:lang w:eastAsia="zh-CN"/>
              </w:rPr>
            </w:pPr>
            <w:r>
              <w:rPr>
                <w:rFonts w:hint="eastAsia" w:ascii="宋体" w:hAnsi="宋体"/>
                <w:kern w:val="0"/>
                <w:lang w:eastAsia="zh-CN"/>
              </w:rPr>
              <w:t>管理架构</w:t>
            </w:r>
          </w:p>
        </w:tc>
        <w:tc>
          <w:tcPr>
            <w:tcW w:w="992" w:type="dxa"/>
            <w:vAlign w:val="center"/>
          </w:tcPr>
          <w:p w14:paraId="1C4E85A5">
            <w:pPr>
              <w:jc w:val="center"/>
              <w:rPr>
                <w:rFonts w:ascii="宋体" w:hAnsi="宋体"/>
                <w:kern w:val="0"/>
              </w:rPr>
            </w:pPr>
            <w:r>
              <w:rPr>
                <w:rFonts w:hint="eastAsia" w:ascii="宋体" w:hAnsi="宋体"/>
                <w:kern w:val="0"/>
              </w:rPr>
              <w:t>10</w:t>
            </w:r>
          </w:p>
        </w:tc>
        <w:tc>
          <w:tcPr>
            <w:tcW w:w="10726" w:type="dxa"/>
            <w:vAlign w:val="center"/>
          </w:tcPr>
          <w:p w14:paraId="475780C0">
            <w:pPr>
              <w:rPr>
                <w:rFonts w:ascii="宋体" w:hAnsi="宋体"/>
                <w:kern w:val="0"/>
              </w:rPr>
            </w:pPr>
            <w:r>
              <w:rPr>
                <w:rFonts w:hint="eastAsia" w:ascii="宋体" w:hAnsi="宋体"/>
                <w:kern w:val="0"/>
              </w:rPr>
              <w:t>根据</w:t>
            </w:r>
            <w:r>
              <w:rPr>
                <w:rFonts w:hint="eastAsia" w:ascii="宋体" w:hAnsi="宋体" w:cs="宋体"/>
              </w:rPr>
              <w:t>报名单位</w:t>
            </w:r>
            <w:r>
              <w:rPr>
                <w:rFonts w:hint="eastAsia" w:ascii="宋体" w:hAnsi="宋体"/>
                <w:kern w:val="0"/>
              </w:rPr>
              <w:t>的公司简介，包括公司架构、场地情况、设备人员、技术力量等综合实力进行比较；优10-8分，良7-5分，一般得4分。</w:t>
            </w:r>
          </w:p>
        </w:tc>
        <w:tc>
          <w:tcPr>
            <w:tcW w:w="1472" w:type="dxa"/>
            <w:vAlign w:val="center"/>
          </w:tcPr>
          <w:p w14:paraId="57986877">
            <w:pPr>
              <w:jc w:val="center"/>
              <w:rPr>
                <w:rFonts w:ascii="宋体" w:hAnsi="宋体"/>
                <w:kern w:val="0"/>
              </w:rPr>
            </w:pPr>
          </w:p>
        </w:tc>
      </w:tr>
      <w:tr w14:paraId="02013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32" w:hRule="atLeast"/>
          <w:jc w:val="center"/>
        </w:trPr>
        <w:tc>
          <w:tcPr>
            <w:tcW w:w="2660" w:type="dxa"/>
            <w:vAlign w:val="center"/>
          </w:tcPr>
          <w:p w14:paraId="59102F27">
            <w:pPr>
              <w:jc w:val="center"/>
              <w:rPr>
                <w:rFonts w:ascii="宋体" w:hAnsi="宋体"/>
                <w:kern w:val="0"/>
              </w:rPr>
            </w:pPr>
            <w:r>
              <w:rPr>
                <w:rFonts w:ascii="宋体" w:hAnsi="宋体"/>
                <w:kern w:val="0"/>
              </w:rPr>
              <w:t>服务方案</w:t>
            </w:r>
          </w:p>
        </w:tc>
        <w:tc>
          <w:tcPr>
            <w:tcW w:w="992" w:type="dxa"/>
            <w:vAlign w:val="center"/>
          </w:tcPr>
          <w:p w14:paraId="769DBB68">
            <w:pPr>
              <w:jc w:val="center"/>
              <w:rPr>
                <w:rFonts w:ascii="宋体" w:hAnsi="宋体"/>
                <w:kern w:val="0"/>
              </w:rPr>
            </w:pPr>
            <w:r>
              <w:rPr>
                <w:rFonts w:hint="eastAsia" w:ascii="宋体" w:hAnsi="宋体"/>
                <w:kern w:val="0"/>
              </w:rPr>
              <w:t>25</w:t>
            </w:r>
          </w:p>
        </w:tc>
        <w:tc>
          <w:tcPr>
            <w:tcW w:w="10726" w:type="dxa"/>
            <w:vAlign w:val="center"/>
          </w:tcPr>
          <w:p w14:paraId="73421CED">
            <w:pPr>
              <w:rPr>
                <w:rFonts w:ascii="宋体" w:hAnsi="宋体"/>
                <w:kern w:val="0"/>
              </w:rPr>
            </w:pPr>
            <w:r>
              <w:rPr>
                <w:rFonts w:hint="eastAsia" w:ascii="宋体" w:hAnsi="宋体"/>
                <w:kern w:val="0"/>
              </w:rPr>
              <w:t>根据报名单位提供的</w:t>
            </w:r>
            <w:r>
              <w:rPr>
                <w:rFonts w:ascii="宋体" w:hAnsi="宋体"/>
                <w:kern w:val="0"/>
              </w:rPr>
              <w:t>服务方案，包括实施计划</w:t>
            </w:r>
            <w:r>
              <w:rPr>
                <w:rFonts w:hint="eastAsia" w:ascii="宋体" w:hAnsi="宋体"/>
                <w:kern w:val="0"/>
              </w:rPr>
              <w:t>、</w:t>
            </w:r>
            <w:r>
              <w:rPr>
                <w:rFonts w:ascii="宋体" w:hAnsi="宋体"/>
                <w:kern w:val="0"/>
              </w:rPr>
              <w:t>流程节点、</w:t>
            </w:r>
            <w:r>
              <w:rPr>
                <w:rFonts w:hint="eastAsia" w:ascii="宋体" w:hAnsi="宋体"/>
                <w:kern w:val="0"/>
              </w:rPr>
              <w:t>投入资源、响应时间、应急力量</w:t>
            </w:r>
            <w:r>
              <w:rPr>
                <w:rFonts w:ascii="宋体" w:hAnsi="宋体"/>
                <w:kern w:val="0"/>
              </w:rPr>
              <w:t>等行进行综合比较</w:t>
            </w:r>
            <w:r>
              <w:rPr>
                <w:rFonts w:hint="eastAsia" w:ascii="宋体" w:hAnsi="宋体"/>
                <w:kern w:val="0"/>
              </w:rPr>
              <w:t>；</w:t>
            </w:r>
            <w:r>
              <w:rPr>
                <w:rFonts w:ascii="宋体" w:hAnsi="宋体"/>
                <w:kern w:val="0"/>
              </w:rPr>
              <w:t>优</w:t>
            </w:r>
            <w:r>
              <w:rPr>
                <w:rFonts w:hint="eastAsia" w:ascii="宋体" w:hAnsi="宋体"/>
                <w:kern w:val="0"/>
              </w:rPr>
              <w:t>25</w:t>
            </w:r>
            <w:r>
              <w:rPr>
                <w:rFonts w:ascii="宋体" w:hAnsi="宋体"/>
                <w:kern w:val="0"/>
              </w:rPr>
              <w:t>-</w:t>
            </w:r>
            <w:r>
              <w:rPr>
                <w:rFonts w:hint="eastAsia" w:ascii="宋体" w:hAnsi="宋体"/>
                <w:kern w:val="0"/>
              </w:rPr>
              <w:t>20</w:t>
            </w:r>
            <w:r>
              <w:rPr>
                <w:rFonts w:ascii="宋体" w:hAnsi="宋体"/>
                <w:kern w:val="0"/>
              </w:rPr>
              <w:t>分，良</w:t>
            </w:r>
            <w:r>
              <w:rPr>
                <w:rFonts w:hint="eastAsia" w:ascii="宋体" w:hAnsi="宋体"/>
                <w:kern w:val="0"/>
              </w:rPr>
              <w:t>19</w:t>
            </w:r>
            <w:r>
              <w:rPr>
                <w:rFonts w:ascii="宋体" w:hAnsi="宋体"/>
                <w:kern w:val="0"/>
              </w:rPr>
              <w:t>-</w:t>
            </w:r>
            <w:r>
              <w:rPr>
                <w:rFonts w:hint="eastAsia" w:ascii="宋体" w:hAnsi="宋体"/>
                <w:kern w:val="0"/>
              </w:rPr>
              <w:t>15</w:t>
            </w:r>
            <w:r>
              <w:rPr>
                <w:rFonts w:ascii="宋体" w:hAnsi="宋体"/>
                <w:kern w:val="0"/>
              </w:rPr>
              <w:t>分，一般</w:t>
            </w:r>
            <w:r>
              <w:rPr>
                <w:rFonts w:hint="eastAsia" w:ascii="宋体" w:hAnsi="宋体"/>
                <w:kern w:val="0"/>
              </w:rPr>
              <w:t>得15</w:t>
            </w:r>
            <w:r>
              <w:rPr>
                <w:rFonts w:ascii="宋体" w:hAnsi="宋体"/>
                <w:kern w:val="0"/>
              </w:rPr>
              <w:t>分。</w:t>
            </w:r>
          </w:p>
        </w:tc>
        <w:tc>
          <w:tcPr>
            <w:tcW w:w="1472" w:type="dxa"/>
            <w:vAlign w:val="center"/>
          </w:tcPr>
          <w:p w14:paraId="3DE172E1">
            <w:pPr>
              <w:jc w:val="center"/>
              <w:rPr>
                <w:rFonts w:ascii="宋体" w:hAnsi="宋体"/>
                <w:kern w:val="0"/>
              </w:rPr>
            </w:pPr>
          </w:p>
        </w:tc>
      </w:tr>
      <w:tr w14:paraId="41847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00" w:hRule="atLeast"/>
          <w:jc w:val="center"/>
        </w:trPr>
        <w:tc>
          <w:tcPr>
            <w:tcW w:w="2660" w:type="dxa"/>
            <w:vAlign w:val="center"/>
          </w:tcPr>
          <w:p w14:paraId="1F78E94B">
            <w:pPr>
              <w:jc w:val="center"/>
              <w:rPr>
                <w:rFonts w:ascii="宋体" w:hAnsi="宋体"/>
                <w:kern w:val="0"/>
              </w:rPr>
            </w:pPr>
            <w:r>
              <w:rPr>
                <w:rFonts w:hint="eastAsia" w:ascii="宋体" w:hAnsi="宋体"/>
                <w:kern w:val="0"/>
              </w:rPr>
              <w:t>管理制度</w:t>
            </w:r>
          </w:p>
        </w:tc>
        <w:tc>
          <w:tcPr>
            <w:tcW w:w="992" w:type="dxa"/>
            <w:vAlign w:val="center"/>
          </w:tcPr>
          <w:p w14:paraId="5EE6FF6A">
            <w:pPr>
              <w:widowControl/>
              <w:jc w:val="center"/>
              <w:rPr>
                <w:rFonts w:ascii="宋体" w:hAnsi="宋体"/>
                <w:kern w:val="0"/>
              </w:rPr>
            </w:pPr>
            <w:r>
              <w:rPr>
                <w:rFonts w:hint="eastAsia" w:ascii="宋体" w:hAnsi="宋体"/>
                <w:kern w:val="0"/>
              </w:rPr>
              <w:t>10</w:t>
            </w:r>
          </w:p>
        </w:tc>
        <w:tc>
          <w:tcPr>
            <w:tcW w:w="10726" w:type="dxa"/>
            <w:vAlign w:val="center"/>
          </w:tcPr>
          <w:p w14:paraId="3248775D">
            <w:pPr>
              <w:widowControl/>
              <w:rPr>
                <w:rFonts w:ascii="宋体" w:hAnsi="宋体"/>
                <w:kern w:val="0"/>
              </w:rPr>
            </w:pPr>
            <w:r>
              <w:rPr>
                <w:rFonts w:hint="eastAsia" w:ascii="宋体" w:hAnsi="宋体"/>
                <w:kern w:val="0"/>
              </w:rPr>
              <w:t>根据报名单位提供的管理制度，每提供一项制度得1分，最多得8分。相关制度较完善，可行性强的最多可加2分，未提供材料不得分。</w:t>
            </w:r>
          </w:p>
        </w:tc>
        <w:tc>
          <w:tcPr>
            <w:tcW w:w="1472" w:type="dxa"/>
            <w:vAlign w:val="center"/>
          </w:tcPr>
          <w:p w14:paraId="33D177C0">
            <w:pPr>
              <w:jc w:val="center"/>
              <w:rPr>
                <w:rFonts w:ascii="宋体" w:hAnsi="宋体"/>
                <w:kern w:val="0"/>
              </w:rPr>
            </w:pPr>
          </w:p>
        </w:tc>
      </w:tr>
      <w:tr w14:paraId="3E9ED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4" w:hRule="atLeast"/>
          <w:jc w:val="center"/>
        </w:trPr>
        <w:tc>
          <w:tcPr>
            <w:tcW w:w="2660" w:type="dxa"/>
            <w:vAlign w:val="center"/>
          </w:tcPr>
          <w:p w14:paraId="52D42B38">
            <w:pPr>
              <w:jc w:val="center"/>
              <w:rPr>
                <w:rFonts w:ascii="宋体" w:hAnsi="宋体" w:cs="宋体"/>
              </w:rPr>
            </w:pPr>
            <w:r>
              <w:rPr>
                <w:rFonts w:hint="eastAsia" w:ascii="宋体" w:hAnsi="宋体" w:cs="宋体"/>
              </w:rPr>
              <w:t>办公信息化</w:t>
            </w:r>
          </w:p>
        </w:tc>
        <w:tc>
          <w:tcPr>
            <w:tcW w:w="992" w:type="dxa"/>
            <w:vAlign w:val="center"/>
          </w:tcPr>
          <w:p w14:paraId="5D7FE7A1">
            <w:pPr>
              <w:widowControl/>
              <w:jc w:val="center"/>
              <w:rPr>
                <w:rFonts w:ascii="宋体" w:hAnsi="宋体"/>
                <w:kern w:val="0"/>
                <w:highlight w:val="yellow"/>
              </w:rPr>
            </w:pPr>
            <w:r>
              <w:rPr>
                <w:rFonts w:hint="eastAsia" w:ascii="宋体" w:hAnsi="宋体"/>
                <w:kern w:val="0"/>
              </w:rPr>
              <w:t>10</w:t>
            </w:r>
          </w:p>
        </w:tc>
        <w:tc>
          <w:tcPr>
            <w:tcW w:w="10726" w:type="dxa"/>
            <w:vAlign w:val="center"/>
          </w:tcPr>
          <w:p w14:paraId="03FB3F52">
            <w:pPr>
              <w:widowControl/>
              <w:rPr>
                <w:rFonts w:ascii="宋体" w:hAnsi="宋体"/>
                <w:kern w:val="0"/>
              </w:rPr>
            </w:pPr>
            <w:r>
              <w:rPr>
                <w:rFonts w:hint="eastAsia" w:ascii="宋体" w:hAnsi="宋体"/>
                <w:kern w:val="0"/>
              </w:rPr>
              <w:t>应有专人负责整理车辆维修相关资料，具备办公信息化能力，能提供相关维修报价单、结算单、结算汇总表等电子报表，每提供一份电子表格模板（空表复印件）得2分，最多得8分。相关表格实用性强的最多可加2分，未提供材料的不得分。</w:t>
            </w:r>
          </w:p>
        </w:tc>
        <w:tc>
          <w:tcPr>
            <w:tcW w:w="1472" w:type="dxa"/>
            <w:vAlign w:val="center"/>
          </w:tcPr>
          <w:p w14:paraId="5E4E1051">
            <w:pPr>
              <w:widowControl/>
              <w:jc w:val="center"/>
              <w:rPr>
                <w:rFonts w:ascii="宋体" w:hAnsi="宋体"/>
                <w:kern w:val="0"/>
              </w:rPr>
            </w:pPr>
          </w:p>
        </w:tc>
      </w:tr>
      <w:tr w14:paraId="7AE9A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12" w:hRule="atLeast"/>
          <w:jc w:val="center"/>
        </w:trPr>
        <w:tc>
          <w:tcPr>
            <w:tcW w:w="2660" w:type="dxa"/>
            <w:vAlign w:val="center"/>
          </w:tcPr>
          <w:p w14:paraId="4309ED76">
            <w:pPr>
              <w:jc w:val="center"/>
              <w:rPr>
                <w:rFonts w:ascii="宋体" w:hAnsi="宋体" w:cs="宋体"/>
              </w:rPr>
            </w:pPr>
            <w:r>
              <w:rPr>
                <w:rFonts w:hint="eastAsia" w:ascii="宋体" w:hAnsi="宋体" w:cs="宋体"/>
              </w:rPr>
              <w:t>企业业绩</w:t>
            </w:r>
          </w:p>
        </w:tc>
        <w:tc>
          <w:tcPr>
            <w:tcW w:w="992" w:type="dxa"/>
            <w:vAlign w:val="center"/>
          </w:tcPr>
          <w:p w14:paraId="5D5F0BE2">
            <w:pPr>
              <w:widowControl/>
              <w:jc w:val="center"/>
              <w:rPr>
                <w:rFonts w:ascii="宋体" w:hAnsi="宋体"/>
                <w:kern w:val="0"/>
              </w:rPr>
            </w:pPr>
            <w:r>
              <w:rPr>
                <w:rFonts w:hint="eastAsia" w:ascii="宋体" w:hAnsi="宋体"/>
                <w:kern w:val="0"/>
              </w:rPr>
              <w:t>25</w:t>
            </w:r>
          </w:p>
        </w:tc>
        <w:tc>
          <w:tcPr>
            <w:tcW w:w="10726" w:type="dxa"/>
            <w:vAlign w:val="center"/>
          </w:tcPr>
          <w:p w14:paraId="11AF4167">
            <w:pPr>
              <w:widowControl/>
              <w:rPr>
                <w:rFonts w:ascii="宋体" w:hAnsi="宋体"/>
                <w:kern w:val="0"/>
              </w:rPr>
            </w:pPr>
            <w:r>
              <w:rPr>
                <w:rFonts w:hint="eastAsia" w:ascii="宋体" w:hAnsi="宋体"/>
                <w:kern w:val="0"/>
              </w:rPr>
              <w:t>根据报名单位提供的自2023年1月1日至今（以合同签订时间为准）业绩证明文件进行评价；业绩证明文件包括相对应合同、协议书、委托书的关键页复印件（关键页包括：封面、服务内容页及双方签章页）；</w:t>
            </w:r>
          </w:p>
          <w:p w14:paraId="644F3A9D">
            <w:pPr>
              <w:widowControl/>
              <w:rPr>
                <w:rFonts w:ascii="宋体" w:hAnsi="宋体"/>
                <w:kern w:val="0"/>
              </w:rPr>
            </w:pPr>
            <w:r>
              <w:rPr>
                <w:rFonts w:hint="eastAsia" w:ascii="宋体" w:hAnsi="宋体"/>
                <w:kern w:val="0"/>
              </w:rPr>
              <w:t>复印件须加盖报名单位公章。每提供一个业绩得2.5分，最高得25分，未提供材料的不得分。</w:t>
            </w:r>
          </w:p>
        </w:tc>
        <w:tc>
          <w:tcPr>
            <w:tcW w:w="1472" w:type="dxa"/>
            <w:vAlign w:val="center"/>
          </w:tcPr>
          <w:p w14:paraId="50DC6F23">
            <w:pPr>
              <w:widowControl/>
              <w:jc w:val="center"/>
              <w:rPr>
                <w:rFonts w:ascii="宋体" w:hAnsi="宋体"/>
                <w:kern w:val="0"/>
              </w:rPr>
            </w:pPr>
          </w:p>
        </w:tc>
      </w:tr>
      <w:tr w14:paraId="73DD4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8" w:hRule="atLeast"/>
          <w:jc w:val="center"/>
        </w:trPr>
        <w:tc>
          <w:tcPr>
            <w:tcW w:w="2660" w:type="dxa"/>
            <w:vAlign w:val="center"/>
          </w:tcPr>
          <w:p w14:paraId="58CD289C">
            <w:pPr>
              <w:widowControl/>
              <w:jc w:val="center"/>
              <w:rPr>
                <w:rFonts w:ascii="宋体" w:hAnsi="宋体"/>
                <w:kern w:val="0"/>
              </w:rPr>
            </w:pPr>
            <w:r>
              <w:rPr>
                <w:rFonts w:hint="eastAsia" w:ascii="宋体" w:hAnsi="宋体"/>
                <w:kern w:val="0"/>
              </w:rPr>
              <w:t>工时费</w:t>
            </w:r>
            <w:r>
              <w:rPr>
                <w:rFonts w:ascii="宋体" w:hAnsi="宋体"/>
                <w:kern w:val="0"/>
              </w:rPr>
              <w:t>报价</w:t>
            </w:r>
          </w:p>
        </w:tc>
        <w:tc>
          <w:tcPr>
            <w:tcW w:w="992" w:type="dxa"/>
            <w:vAlign w:val="center"/>
          </w:tcPr>
          <w:p w14:paraId="2FC8DB24">
            <w:pPr>
              <w:widowControl/>
              <w:jc w:val="center"/>
              <w:rPr>
                <w:rFonts w:ascii="宋体" w:hAnsi="宋体"/>
                <w:kern w:val="0"/>
              </w:rPr>
            </w:pPr>
            <w:r>
              <w:rPr>
                <w:rFonts w:hint="eastAsia" w:ascii="宋体" w:hAnsi="宋体"/>
                <w:kern w:val="0"/>
              </w:rPr>
              <w:t>15</w:t>
            </w:r>
          </w:p>
        </w:tc>
        <w:tc>
          <w:tcPr>
            <w:tcW w:w="10726" w:type="dxa"/>
            <w:vAlign w:val="center"/>
          </w:tcPr>
          <w:p w14:paraId="15F010CE">
            <w:pPr>
              <w:widowControl/>
              <w:rPr>
                <w:rFonts w:ascii="宋体" w:hAnsi="宋体"/>
                <w:kern w:val="0"/>
              </w:rPr>
            </w:pPr>
            <w:r>
              <w:rPr>
                <w:rFonts w:hint="eastAsia" w:ascii="宋体" w:hAnsi="宋体"/>
                <w:kern w:val="0"/>
              </w:rPr>
              <w:t>1、</w:t>
            </w:r>
            <w:r>
              <w:rPr>
                <w:rFonts w:ascii="宋体" w:hAnsi="宋体"/>
                <w:kern w:val="0"/>
              </w:rPr>
              <w:t>以所有合格报名单位评标价的最低价作为评分基准价</w:t>
            </w:r>
            <w:r>
              <w:rPr>
                <w:rFonts w:hint="eastAsia" w:ascii="宋体" w:hAnsi="宋体"/>
                <w:kern w:val="0"/>
              </w:rPr>
              <w:t>；</w:t>
            </w:r>
          </w:p>
          <w:p w14:paraId="12C32084">
            <w:pPr>
              <w:widowControl/>
              <w:rPr>
                <w:rFonts w:ascii="宋体" w:hAnsi="宋体"/>
                <w:kern w:val="0"/>
              </w:rPr>
            </w:pPr>
            <w:r>
              <w:rPr>
                <w:rFonts w:hint="eastAsia" w:ascii="宋体" w:hAnsi="宋体"/>
                <w:kern w:val="0"/>
              </w:rPr>
              <w:t>2、</w:t>
            </w:r>
            <w:r>
              <w:rPr>
                <w:rFonts w:ascii="宋体" w:hAnsi="宋体"/>
                <w:kern w:val="0"/>
              </w:rPr>
              <w:t>报名单位的价格分按下式计算：价格分=（评分基准价/评标价）×</w:t>
            </w:r>
            <w:r>
              <w:rPr>
                <w:rFonts w:hint="eastAsia" w:ascii="宋体" w:hAnsi="宋体"/>
                <w:kern w:val="0"/>
              </w:rPr>
              <w:t>15。</w:t>
            </w:r>
          </w:p>
          <w:p w14:paraId="7EA02A1B">
            <w:pPr>
              <w:pStyle w:val="2"/>
              <w:ind w:firstLine="210" w:firstLineChars="100"/>
              <w:rPr>
                <w:sz w:val="21"/>
                <w:szCs w:val="21"/>
              </w:rPr>
            </w:pPr>
            <w:r>
              <w:rPr>
                <w:rFonts w:hint="eastAsia"/>
                <w:sz w:val="21"/>
                <w:szCs w:val="21"/>
              </w:rPr>
              <w:t>（以上计算数值保留到小数点后1位）</w:t>
            </w:r>
          </w:p>
        </w:tc>
        <w:tc>
          <w:tcPr>
            <w:tcW w:w="1472" w:type="dxa"/>
            <w:vAlign w:val="center"/>
          </w:tcPr>
          <w:p w14:paraId="117A9642">
            <w:pPr>
              <w:widowControl/>
              <w:jc w:val="center"/>
              <w:rPr>
                <w:rFonts w:ascii="宋体" w:hAnsi="宋体"/>
                <w:kern w:val="0"/>
              </w:rPr>
            </w:pPr>
          </w:p>
          <w:p w14:paraId="6CA118EB">
            <w:pPr>
              <w:widowControl/>
              <w:jc w:val="center"/>
              <w:rPr>
                <w:rFonts w:ascii="宋体" w:hAnsi="宋体"/>
                <w:kern w:val="0"/>
              </w:rPr>
            </w:pPr>
          </w:p>
        </w:tc>
      </w:tr>
      <w:tr w14:paraId="47438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2660" w:type="dxa"/>
            <w:vAlign w:val="center"/>
          </w:tcPr>
          <w:p w14:paraId="3B7E57F4">
            <w:pPr>
              <w:widowControl/>
              <w:jc w:val="center"/>
              <w:rPr>
                <w:rFonts w:ascii="宋体" w:hAnsi="宋体"/>
                <w:kern w:val="0"/>
              </w:rPr>
            </w:pPr>
            <w:r>
              <w:rPr>
                <w:rFonts w:ascii="宋体" w:hAnsi="宋体"/>
                <w:kern w:val="0"/>
              </w:rPr>
              <w:t>合  计</w:t>
            </w:r>
          </w:p>
        </w:tc>
        <w:tc>
          <w:tcPr>
            <w:tcW w:w="992" w:type="dxa"/>
            <w:vAlign w:val="center"/>
          </w:tcPr>
          <w:p w14:paraId="1A424390">
            <w:pPr>
              <w:widowControl/>
              <w:jc w:val="center"/>
              <w:rPr>
                <w:rFonts w:ascii="宋体" w:hAnsi="宋体"/>
                <w:kern w:val="0"/>
              </w:rPr>
            </w:pPr>
            <w:r>
              <w:rPr>
                <w:rFonts w:hint="eastAsia" w:ascii="宋体" w:hAnsi="宋体"/>
                <w:kern w:val="0"/>
              </w:rPr>
              <w:t>100</w:t>
            </w:r>
          </w:p>
        </w:tc>
        <w:tc>
          <w:tcPr>
            <w:tcW w:w="10726" w:type="dxa"/>
            <w:vAlign w:val="center"/>
          </w:tcPr>
          <w:p w14:paraId="67DE9238">
            <w:pPr>
              <w:widowControl/>
              <w:jc w:val="center"/>
              <w:rPr>
                <w:rFonts w:ascii="宋体" w:hAnsi="宋体"/>
                <w:kern w:val="0"/>
              </w:rPr>
            </w:pPr>
          </w:p>
        </w:tc>
        <w:tc>
          <w:tcPr>
            <w:tcW w:w="1472" w:type="dxa"/>
            <w:vAlign w:val="center"/>
          </w:tcPr>
          <w:p w14:paraId="40DD68F7">
            <w:pPr>
              <w:jc w:val="center"/>
              <w:rPr>
                <w:rFonts w:ascii="宋体" w:hAnsi="宋体"/>
                <w:kern w:val="0"/>
              </w:rPr>
            </w:pPr>
          </w:p>
          <w:p w14:paraId="76CACF6F">
            <w:pPr>
              <w:rPr>
                <w:rFonts w:ascii="宋体" w:hAnsi="宋体"/>
                <w:kern w:val="0"/>
              </w:rPr>
            </w:pPr>
          </w:p>
        </w:tc>
      </w:tr>
    </w:tbl>
    <w:p w14:paraId="00AA61CB">
      <w:pPr>
        <w:ind w:firstLine="560" w:firstLineChars="200"/>
        <w:rPr>
          <w:sz w:val="28"/>
          <w:szCs w:val="28"/>
        </w:rPr>
      </w:pPr>
    </w:p>
    <w:sectPr>
      <w:pgSz w:w="16838" w:h="11906" w:orient="landscape"/>
      <w:pgMar w:top="720" w:right="720" w:bottom="720" w:left="720"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lMDU3Y2VhZjlhNjJkMDE0MGE2NGJiNDczNTA5MWMifQ=="/>
    <w:docVar w:name="KGWebUrl" w:val="http://19.121.241.45/seeyon/officeservlet"/>
  </w:docVars>
  <w:rsids>
    <w:rsidRoot w:val="5FDA3E7F"/>
    <w:rsid w:val="000149F6"/>
    <w:rsid w:val="00072B4B"/>
    <w:rsid w:val="0009653E"/>
    <w:rsid w:val="000F6568"/>
    <w:rsid w:val="001119FC"/>
    <w:rsid w:val="001203DD"/>
    <w:rsid w:val="00130987"/>
    <w:rsid w:val="0015444C"/>
    <w:rsid w:val="0016305F"/>
    <w:rsid w:val="00171D34"/>
    <w:rsid w:val="001A12CB"/>
    <w:rsid w:val="001A4FDD"/>
    <w:rsid w:val="001D0A6F"/>
    <w:rsid w:val="001D1D4C"/>
    <w:rsid w:val="001E2477"/>
    <w:rsid w:val="002408B6"/>
    <w:rsid w:val="002440D4"/>
    <w:rsid w:val="00256672"/>
    <w:rsid w:val="00271C46"/>
    <w:rsid w:val="0027528A"/>
    <w:rsid w:val="002D5197"/>
    <w:rsid w:val="002E0280"/>
    <w:rsid w:val="002F7CD5"/>
    <w:rsid w:val="0031139D"/>
    <w:rsid w:val="003128D6"/>
    <w:rsid w:val="0031665C"/>
    <w:rsid w:val="003305A6"/>
    <w:rsid w:val="00340936"/>
    <w:rsid w:val="0035009B"/>
    <w:rsid w:val="00367E9D"/>
    <w:rsid w:val="00375618"/>
    <w:rsid w:val="003D0A74"/>
    <w:rsid w:val="00410EBE"/>
    <w:rsid w:val="004362A3"/>
    <w:rsid w:val="004B0DF1"/>
    <w:rsid w:val="004C7A93"/>
    <w:rsid w:val="004F1366"/>
    <w:rsid w:val="004F60CF"/>
    <w:rsid w:val="00514ABA"/>
    <w:rsid w:val="005272B6"/>
    <w:rsid w:val="00532A2D"/>
    <w:rsid w:val="00562882"/>
    <w:rsid w:val="00581288"/>
    <w:rsid w:val="005A34CA"/>
    <w:rsid w:val="00604D0E"/>
    <w:rsid w:val="00620F92"/>
    <w:rsid w:val="00626FA1"/>
    <w:rsid w:val="0068795D"/>
    <w:rsid w:val="006A0419"/>
    <w:rsid w:val="006A3074"/>
    <w:rsid w:val="006D6B97"/>
    <w:rsid w:val="006E7315"/>
    <w:rsid w:val="006F6D61"/>
    <w:rsid w:val="0074383E"/>
    <w:rsid w:val="00755341"/>
    <w:rsid w:val="007669EE"/>
    <w:rsid w:val="007B05B0"/>
    <w:rsid w:val="007D6EE2"/>
    <w:rsid w:val="007E18D4"/>
    <w:rsid w:val="007F5017"/>
    <w:rsid w:val="008550E0"/>
    <w:rsid w:val="00882A81"/>
    <w:rsid w:val="008B5178"/>
    <w:rsid w:val="008C51E3"/>
    <w:rsid w:val="008E3E6D"/>
    <w:rsid w:val="008F6626"/>
    <w:rsid w:val="0090735E"/>
    <w:rsid w:val="00916FA2"/>
    <w:rsid w:val="00931B5F"/>
    <w:rsid w:val="009323F8"/>
    <w:rsid w:val="00964582"/>
    <w:rsid w:val="009658AD"/>
    <w:rsid w:val="00970F05"/>
    <w:rsid w:val="00984883"/>
    <w:rsid w:val="009D2951"/>
    <w:rsid w:val="00A21E79"/>
    <w:rsid w:val="00A26C31"/>
    <w:rsid w:val="00A359D3"/>
    <w:rsid w:val="00A42A1E"/>
    <w:rsid w:val="00A42D3B"/>
    <w:rsid w:val="00A918FB"/>
    <w:rsid w:val="00AA1788"/>
    <w:rsid w:val="00B02CCB"/>
    <w:rsid w:val="00B17CC6"/>
    <w:rsid w:val="00B4119B"/>
    <w:rsid w:val="00B4439D"/>
    <w:rsid w:val="00B52BF1"/>
    <w:rsid w:val="00B5675C"/>
    <w:rsid w:val="00B614E0"/>
    <w:rsid w:val="00B6735B"/>
    <w:rsid w:val="00B86BA6"/>
    <w:rsid w:val="00B87DC6"/>
    <w:rsid w:val="00BD28D6"/>
    <w:rsid w:val="00C20E22"/>
    <w:rsid w:val="00C25867"/>
    <w:rsid w:val="00C42429"/>
    <w:rsid w:val="00C5115C"/>
    <w:rsid w:val="00C63139"/>
    <w:rsid w:val="00C809AA"/>
    <w:rsid w:val="00CC1947"/>
    <w:rsid w:val="00CC6EBF"/>
    <w:rsid w:val="00CE3524"/>
    <w:rsid w:val="00CF0E3A"/>
    <w:rsid w:val="00D00CE6"/>
    <w:rsid w:val="00D16DD7"/>
    <w:rsid w:val="00D42ABC"/>
    <w:rsid w:val="00D94F86"/>
    <w:rsid w:val="00DA567B"/>
    <w:rsid w:val="00DA7D8F"/>
    <w:rsid w:val="00DB56C0"/>
    <w:rsid w:val="00DC206C"/>
    <w:rsid w:val="00DD2B4D"/>
    <w:rsid w:val="00DD5414"/>
    <w:rsid w:val="00DF24F3"/>
    <w:rsid w:val="00DF4637"/>
    <w:rsid w:val="00E52328"/>
    <w:rsid w:val="00E560D8"/>
    <w:rsid w:val="00E600FE"/>
    <w:rsid w:val="00E70F46"/>
    <w:rsid w:val="00EA1092"/>
    <w:rsid w:val="00EA1FC0"/>
    <w:rsid w:val="00EB2796"/>
    <w:rsid w:val="00EF0ED9"/>
    <w:rsid w:val="00F04171"/>
    <w:rsid w:val="00F100E0"/>
    <w:rsid w:val="00F12A34"/>
    <w:rsid w:val="00F72AD7"/>
    <w:rsid w:val="053E25DD"/>
    <w:rsid w:val="07F31225"/>
    <w:rsid w:val="084D1FF9"/>
    <w:rsid w:val="094851D0"/>
    <w:rsid w:val="099F7B11"/>
    <w:rsid w:val="0E823830"/>
    <w:rsid w:val="0F7C39B0"/>
    <w:rsid w:val="10BC43BA"/>
    <w:rsid w:val="10E549A1"/>
    <w:rsid w:val="14DC4224"/>
    <w:rsid w:val="1F4C5CAB"/>
    <w:rsid w:val="252561EE"/>
    <w:rsid w:val="255B30EF"/>
    <w:rsid w:val="270237C3"/>
    <w:rsid w:val="281D3002"/>
    <w:rsid w:val="29AF18B7"/>
    <w:rsid w:val="2B8A3E01"/>
    <w:rsid w:val="2DAC25A2"/>
    <w:rsid w:val="2F1422BD"/>
    <w:rsid w:val="2FAC7A81"/>
    <w:rsid w:val="32D56BB5"/>
    <w:rsid w:val="37896B48"/>
    <w:rsid w:val="38647A3B"/>
    <w:rsid w:val="3884708A"/>
    <w:rsid w:val="3CFB6F84"/>
    <w:rsid w:val="425139E4"/>
    <w:rsid w:val="4DFC0F77"/>
    <w:rsid w:val="5211523C"/>
    <w:rsid w:val="58D304A6"/>
    <w:rsid w:val="590B454D"/>
    <w:rsid w:val="59BA4C4C"/>
    <w:rsid w:val="5A7B1263"/>
    <w:rsid w:val="5C9D4E93"/>
    <w:rsid w:val="5FDA3E7F"/>
    <w:rsid w:val="6A3117A6"/>
    <w:rsid w:val="6EA27F99"/>
    <w:rsid w:val="724E3EEE"/>
    <w:rsid w:val="76FC2CDD"/>
    <w:rsid w:val="7762625C"/>
    <w:rsid w:val="7A941B60"/>
    <w:rsid w:val="7BDD1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0"/>
    </w:rPr>
  </w:style>
  <w:style w:type="paragraph" w:styleId="3">
    <w:name w:val="annotation text"/>
    <w:basedOn w:val="1"/>
    <w:link w:val="13"/>
    <w:qFormat/>
    <w:uiPriority w:val="0"/>
  </w:style>
  <w:style w:type="paragraph" w:styleId="4">
    <w:name w:val="Balloon Text"/>
    <w:basedOn w:val="1"/>
    <w:link w:val="15"/>
    <w:qFormat/>
    <w:uiPriority w:val="0"/>
    <w:pPr>
      <w:spacing w:line="240" w:lineRule="auto"/>
    </w:pPr>
    <w:rPr>
      <w:sz w:val="18"/>
      <w:szCs w:val="18"/>
    </w:rPr>
  </w:style>
  <w:style w:type="paragraph" w:styleId="5">
    <w:name w:val="footer"/>
    <w:basedOn w:val="1"/>
    <w:link w:val="17"/>
    <w:qFormat/>
    <w:uiPriority w:val="0"/>
    <w:pPr>
      <w:tabs>
        <w:tab w:val="center" w:pos="4153"/>
        <w:tab w:val="right" w:pos="8306"/>
      </w:tabs>
      <w:snapToGrid w:val="0"/>
      <w:spacing w:line="240" w:lineRule="atLeas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7">
    <w:name w:val="annotation subject"/>
    <w:basedOn w:val="3"/>
    <w:next w:val="3"/>
    <w:link w:val="14"/>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qFormat/>
    <w:uiPriority w:val="0"/>
    <w:rPr>
      <w:sz w:val="21"/>
      <w:szCs w:val="21"/>
    </w:rPr>
  </w:style>
  <w:style w:type="character" w:customStyle="1" w:styleId="12">
    <w:name w:val="正文文本 (2) + 间距 0 pt3"/>
    <w:qFormat/>
    <w:uiPriority w:val="99"/>
    <w:rPr>
      <w:rFonts w:ascii="MingLiU" w:eastAsia="MingLiU" w:cs="MingLiU"/>
      <w:spacing w:val="0"/>
      <w:sz w:val="22"/>
      <w:szCs w:val="22"/>
      <w:u w:val="none"/>
    </w:rPr>
  </w:style>
  <w:style w:type="character" w:customStyle="1" w:styleId="13">
    <w:name w:val="批注文字 Char"/>
    <w:link w:val="3"/>
    <w:qFormat/>
    <w:uiPriority w:val="0"/>
    <w:rPr>
      <w:kern w:val="2"/>
      <w:sz w:val="21"/>
      <w:szCs w:val="21"/>
    </w:rPr>
  </w:style>
  <w:style w:type="character" w:customStyle="1" w:styleId="14">
    <w:name w:val="批注主题 Char"/>
    <w:link w:val="7"/>
    <w:qFormat/>
    <w:uiPriority w:val="0"/>
    <w:rPr>
      <w:b/>
      <w:bCs/>
      <w:kern w:val="2"/>
      <w:sz w:val="21"/>
      <w:szCs w:val="21"/>
    </w:rPr>
  </w:style>
  <w:style w:type="character" w:customStyle="1" w:styleId="15">
    <w:name w:val="批注框文本 Char"/>
    <w:link w:val="4"/>
    <w:qFormat/>
    <w:uiPriority w:val="0"/>
    <w:rPr>
      <w:kern w:val="2"/>
      <w:sz w:val="18"/>
      <w:szCs w:val="18"/>
    </w:rPr>
  </w:style>
  <w:style w:type="character" w:customStyle="1" w:styleId="16">
    <w:name w:val="页眉 Char"/>
    <w:link w:val="6"/>
    <w:qFormat/>
    <w:uiPriority w:val="0"/>
    <w:rPr>
      <w:kern w:val="2"/>
      <w:sz w:val="18"/>
      <w:szCs w:val="18"/>
    </w:rPr>
  </w:style>
  <w:style w:type="character" w:customStyle="1" w:styleId="17">
    <w:name w:val="页脚 Char"/>
    <w:link w:val="5"/>
    <w:qFormat/>
    <w:uiPriority w:val="0"/>
    <w:rPr>
      <w:kern w:val="2"/>
      <w:sz w:val="18"/>
      <w:szCs w:val="18"/>
    </w:rPr>
  </w:style>
  <w:style w:type="character" w:customStyle="1" w:styleId="18">
    <w:name w:val="fontstyle01"/>
    <w:qFormat/>
    <w:uiPriority w:val="0"/>
    <w:rPr>
      <w:rFonts w:hint="eastAsia" w:ascii="宋体" w:hAnsi="宋体" w:eastAsia="宋体"/>
      <w:color w:val="000000"/>
      <w:sz w:val="22"/>
      <w:szCs w:val="22"/>
    </w:rPr>
  </w:style>
  <w:style w:type="character" w:styleId="19">
    <w:name w:val="Placeholder Text"/>
    <w:basedOn w:val="10"/>
    <w:unhideWhenUsed/>
    <w:qFormat/>
    <w:uiPriority w:val="99"/>
    <w:rPr>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893D5-906A-41E6-8376-F5C56BADE2A8}">
  <ds:schemaRefs/>
</ds:datastoreItem>
</file>

<file path=docProps/app.xml><?xml version="1.0" encoding="utf-8"?>
<Properties xmlns="http://schemas.openxmlformats.org/officeDocument/2006/extended-properties" xmlns:vt="http://schemas.openxmlformats.org/officeDocument/2006/docPropsVTypes">
  <Template>Normal.dotm</Template>
  <Company>江门市公路局</Company>
  <Pages>2</Pages>
  <Words>1072</Words>
  <Characters>1102</Characters>
  <Lines>8</Lines>
  <Paragraphs>2</Paragraphs>
  <TotalTime>1</TotalTime>
  <ScaleCrop>false</ScaleCrop>
  <LinksUpToDate>false</LinksUpToDate>
  <CharactersWithSpaces>1104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2025-03-24T07:48:00Z</dcterms:created>
  <dc:creator>区展锴</dc:creator>
  <cp:lastModifiedBy>赵树艳</cp:lastModifiedBy>
  <cp:lastPrinted>2025-03-26T02:26:38Z</cp:lastPrinted>
  <dcterms:modified xsi:type="dcterms:W3CDTF">2025-03-26T02:26:41Z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366643D950BC4AFF962BA1E5E68284EF</vt:lpwstr>
  </property>
  <property fmtid="{D5CDD505-2E9C-101B-9397-08002B2CF9AE}" pid="4" name="KSOTemplateDocerSaveRecord">
    <vt:lpwstr>eyJoZGlkIjoiMGMwNzZhN2EyNzczOGUwY2MxNDk4NmI1N2Q3YzAzMmEifQ==</vt:lpwstr>
  </property>
</Properties>
</file>