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E8646">
      <w:pPr>
        <w:spacing w:line="560" w:lineRule="exact"/>
        <w:jc w:val="left"/>
        <w:rPr>
          <w:rFonts w:hint="default" w:eastAsiaTheme="minorEastAsia"/>
          <w:b/>
          <w:bCs/>
          <w:sz w:val="28"/>
          <w:szCs w:val="28"/>
          <w:highlight w:val="none"/>
          <w:lang w:val="en-US" w:eastAsia="zh-CN"/>
        </w:rPr>
      </w:pPr>
      <w:bookmarkStart w:id="0" w:name="_GoBack"/>
      <w:r>
        <w:rPr>
          <w:rFonts w:hint="eastAsia"/>
          <w:b/>
          <w:bCs/>
          <w:sz w:val="28"/>
          <w:szCs w:val="28"/>
          <w:highlight w:val="none"/>
          <w:lang w:eastAsia="zh-CN"/>
        </w:rPr>
        <w:t>附件</w:t>
      </w:r>
      <w:r>
        <w:rPr>
          <w:rFonts w:hint="eastAsia"/>
          <w:b/>
          <w:bCs/>
          <w:sz w:val="28"/>
          <w:szCs w:val="28"/>
          <w:highlight w:val="none"/>
          <w:lang w:val="en-US" w:eastAsia="zh-CN"/>
        </w:rPr>
        <w:t>1</w:t>
      </w:r>
    </w:p>
    <w:bookmarkEnd w:id="0"/>
    <w:p w14:paraId="50333BB1">
      <w:pPr>
        <w:spacing w:line="560" w:lineRule="exact"/>
        <w:jc w:val="center"/>
        <w:rPr>
          <w:rFonts w:hint="eastAsia" w:eastAsiaTheme="minorEastAsia"/>
          <w:b/>
          <w:bCs/>
          <w:sz w:val="28"/>
          <w:szCs w:val="28"/>
          <w:highlight w:val="none"/>
          <w:lang w:eastAsia="zh-CN"/>
        </w:rPr>
      </w:pPr>
      <w:r>
        <w:rPr>
          <w:rFonts w:hint="eastAsia"/>
          <w:b/>
          <w:bCs/>
          <w:sz w:val="28"/>
          <w:szCs w:val="28"/>
          <w:highlight w:val="none"/>
        </w:rPr>
        <w:t>江门市新会公路局养护中心</w:t>
      </w:r>
      <w:r>
        <w:rPr>
          <w:rFonts w:hint="eastAsia"/>
          <w:b/>
          <w:bCs/>
          <w:sz w:val="28"/>
          <w:szCs w:val="28"/>
          <w:highlight w:val="none"/>
          <w:lang w:eastAsia="zh-CN"/>
        </w:rPr>
        <w:t>省道S271线双水电厂路段（K86+200~K86+800）挖补维修工程商品混凝土</w:t>
      </w:r>
      <w:r>
        <w:rPr>
          <w:rFonts w:hint="eastAsia"/>
          <w:b/>
          <w:bCs/>
          <w:sz w:val="28"/>
          <w:szCs w:val="28"/>
          <w:highlight w:val="none"/>
        </w:rPr>
        <w:t>采购评</w:t>
      </w:r>
      <w:r>
        <w:rPr>
          <w:rFonts w:hint="eastAsia"/>
          <w:b/>
          <w:bCs/>
          <w:sz w:val="28"/>
          <w:szCs w:val="28"/>
          <w:highlight w:val="none"/>
          <w:lang w:eastAsia="zh-CN"/>
        </w:rPr>
        <w:t>分标准</w:t>
      </w:r>
    </w:p>
    <w:p w14:paraId="3FFEC652">
      <w:pPr>
        <w:spacing w:line="560" w:lineRule="exact"/>
        <w:ind w:firstLine="560"/>
        <w:jc w:val="left"/>
        <w:rPr>
          <w:b/>
          <w:bCs/>
          <w:sz w:val="24"/>
          <w:highlight w:val="none"/>
        </w:rPr>
      </w:pPr>
      <w:r>
        <w:rPr>
          <w:rFonts w:hint="eastAsia"/>
          <w:b/>
          <w:bCs/>
          <w:sz w:val="24"/>
          <w:highlight w:val="none"/>
        </w:rPr>
        <w:t>一、本采购项目采用综合评分选取方式</w:t>
      </w:r>
    </w:p>
    <w:p w14:paraId="159D0F92">
      <w:pPr>
        <w:spacing w:line="360" w:lineRule="auto"/>
        <w:ind w:firstLine="480" w:firstLineChars="200"/>
        <w:rPr>
          <w:rFonts w:ascii="宋体" w:hAnsi="宋体" w:eastAsia="宋体" w:cs="宋体"/>
          <w:sz w:val="24"/>
        </w:rPr>
      </w:pPr>
      <w:r>
        <w:rPr>
          <w:rFonts w:hint="eastAsia" w:ascii="宋体" w:hAnsi="宋体" w:eastAsia="宋体" w:cs="宋体"/>
          <w:sz w:val="24"/>
        </w:rPr>
        <w:t>本次采购采用【自行采购的综合选取】的方式确定中选单位。评分小组先对报名的</w:t>
      </w:r>
      <w:r>
        <w:rPr>
          <w:rFonts w:hint="eastAsia" w:ascii="宋体" w:hAnsi="宋体" w:eastAsia="宋体" w:cs="宋体"/>
          <w:sz w:val="24"/>
          <w:lang w:eastAsia="zh-CN"/>
        </w:rPr>
        <w:t>单位</w:t>
      </w:r>
      <w:r>
        <w:rPr>
          <w:rFonts w:hint="eastAsia" w:ascii="宋体" w:hAnsi="宋体" w:eastAsia="宋体" w:cs="宋体"/>
          <w:sz w:val="24"/>
        </w:rPr>
        <w:t>进行初步评审；</w:t>
      </w:r>
      <w:r>
        <w:rPr>
          <w:rFonts w:hint="eastAsia"/>
          <w:sz w:val="24"/>
          <w:highlight w:val="none"/>
        </w:rPr>
        <w:t>然后对满足初步评审要求的投标单位的报价进行得分计算</w:t>
      </w:r>
      <w:r>
        <w:rPr>
          <w:rFonts w:hint="eastAsia" w:ascii="宋体" w:hAnsi="宋体" w:eastAsia="宋体" w:cs="宋体"/>
          <w:sz w:val="24"/>
        </w:rPr>
        <w:t>，并按得分由高到低顺序推荐中选</w:t>
      </w:r>
      <w:r>
        <w:rPr>
          <w:rFonts w:hint="eastAsia" w:ascii="宋体" w:hAnsi="宋体" w:eastAsia="宋体" w:cs="宋体"/>
          <w:sz w:val="24"/>
          <w:lang w:eastAsia="zh-CN"/>
        </w:rPr>
        <w:t>单位</w:t>
      </w:r>
      <w:r>
        <w:rPr>
          <w:rFonts w:hint="eastAsia" w:ascii="宋体" w:hAnsi="宋体" w:eastAsia="宋体" w:cs="宋体"/>
          <w:sz w:val="24"/>
        </w:rPr>
        <w:t>。</w:t>
      </w:r>
    </w:p>
    <w:p w14:paraId="1B72F075">
      <w:pPr>
        <w:spacing w:line="360" w:lineRule="auto"/>
        <w:ind w:firstLine="480" w:firstLineChars="200"/>
        <w:rPr>
          <w:rFonts w:hAnsi="宋体"/>
          <w:sz w:val="24"/>
          <w:szCs w:val="24"/>
        </w:rPr>
      </w:pPr>
      <w:r>
        <w:rPr>
          <w:rFonts w:hint="eastAsia" w:ascii="宋体" w:hAnsi="宋体" w:eastAsia="宋体"/>
          <w:sz w:val="24"/>
        </w:rPr>
        <w:t>如有两家或以上</w:t>
      </w:r>
      <w:r>
        <w:rPr>
          <w:rFonts w:hint="eastAsia" w:ascii="宋体" w:hAnsi="宋体" w:eastAsia="宋体"/>
          <w:sz w:val="24"/>
          <w:lang w:eastAsia="zh-CN"/>
        </w:rPr>
        <w:t>报价单位</w:t>
      </w:r>
      <w:r>
        <w:rPr>
          <w:rFonts w:hint="eastAsia" w:ascii="宋体" w:hAnsi="宋体" w:eastAsia="宋体"/>
          <w:sz w:val="24"/>
        </w:rPr>
        <w:t>的综合得分相同且得分均为最高，</w:t>
      </w:r>
      <w:r>
        <w:rPr>
          <w:rFonts w:hint="eastAsia" w:ascii="宋体" w:hAnsi="宋体" w:eastAsia="宋体" w:cs="宋体"/>
          <w:sz w:val="24"/>
        </w:rPr>
        <w:t>评分小组视</w:t>
      </w:r>
      <w:r>
        <w:rPr>
          <w:rFonts w:hint="eastAsia" w:ascii="宋体" w:hAnsi="宋体" w:eastAsia="宋体" w:cs="宋体"/>
          <w:sz w:val="24"/>
          <w:lang w:eastAsia="zh-CN"/>
        </w:rPr>
        <w:t>报价单位</w:t>
      </w:r>
      <w:r>
        <w:rPr>
          <w:rFonts w:hint="eastAsia" w:ascii="宋体" w:hAnsi="宋体" w:eastAsia="宋体" w:cs="宋体"/>
          <w:sz w:val="24"/>
        </w:rPr>
        <w:t>的情况综合比较，投票确定其名次。</w:t>
      </w:r>
    </w:p>
    <w:p w14:paraId="1E7A8148">
      <w:pPr>
        <w:numPr>
          <w:ilvl w:val="0"/>
          <w:numId w:val="1"/>
        </w:numPr>
        <w:spacing w:line="560" w:lineRule="exact"/>
        <w:ind w:firstLine="560"/>
        <w:jc w:val="left"/>
        <w:rPr>
          <w:b/>
          <w:bCs/>
          <w:sz w:val="24"/>
          <w:highlight w:val="none"/>
        </w:rPr>
      </w:pPr>
      <w:r>
        <w:rPr>
          <w:rFonts w:hint="eastAsia"/>
          <w:b/>
          <w:bCs/>
          <w:sz w:val="24"/>
          <w:highlight w:val="none"/>
        </w:rPr>
        <w:t>初步评审</w:t>
      </w:r>
    </w:p>
    <w:tbl>
      <w:tblPr>
        <w:tblStyle w:val="7"/>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5"/>
        <w:gridCol w:w="7884"/>
      </w:tblGrid>
      <w:tr w14:paraId="14DF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2215" w:type="dxa"/>
            <w:vAlign w:val="center"/>
          </w:tcPr>
          <w:p w14:paraId="758D0742">
            <w:pPr>
              <w:spacing w:line="560" w:lineRule="exact"/>
              <w:jc w:val="center"/>
              <w:rPr>
                <w:b/>
                <w:bCs/>
                <w:sz w:val="24"/>
                <w:highlight w:val="none"/>
              </w:rPr>
            </w:pPr>
            <w:r>
              <w:rPr>
                <w:rFonts w:hint="eastAsia"/>
                <w:b/>
                <w:bCs/>
                <w:sz w:val="24"/>
                <w:highlight w:val="none"/>
              </w:rPr>
              <w:t>评审因素</w:t>
            </w:r>
          </w:p>
        </w:tc>
        <w:tc>
          <w:tcPr>
            <w:tcW w:w="7884" w:type="dxa"/>
            <w:vAlign w:val="center"/>
          </w:tcPr>
          <w:p w14:paraId="7C399EA9">
            <w:pPr>
              <w:spacing w:line="560" w:lineRule="exact"/>
              <w:jc w:val="center"/>
              <w:rPr>
                <w:b/>
                <w:bCs/>
                <w:sz w:val="24"/>
                <w:highlight w:val="none"/>
              </w:rPr>
            </w:pPr>
            <w:r>
              <w:rPr>
                <w:rFonts w:hint="eastAsia"/>
                <w:b/>
                <w:bCs/>
                <w:sz w:val="24"/>
                <w:highlight w:val="none"/>
              </w:rPr>
              <w:t>初评标准</w:t>
            </w:r>
          </w:p>
        </w:tc>
      </w:tr>
      <w:tr w14:paraId="6F6E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2215" w:type="dxa"/>
            <w:vAlign w:val="center"/>
          </w:tcPr>
          <w:p w14:paraId="70DA5A88">
            <w:pPr>
              <w:spacing w:line="500" w:lineRule="exact"/>
              <w:jc w:val="center"/>
              <w:rPr>
                <w:rFonts w:hint="eastAsia" w:eastAsiaTheme="minorEastAsia"/>
                <w:sz w:val="24"/>
                <w:highlight w:val="none"/>
                <w:lang w:eastAsia="zh-CN"/>
              </w:rPr>
            </w:pPr>
            <w:r>
              <w:rPr>
                <w:rFonts w:hint="eastAsia"/>
                <w:sz w:val="24"/>
                <w:highlight w:val="none"/>
                <w:lang w:eastAsia="zh-CN"/>
              </w:rPr>
              <w:t>资质</w:t>
            </w:r>
          </w:p>
        </w:tc>
        <w:tc>
          <w:tcPr>
            <w:tcW w:w="7884" w:type="dxa"/>
            <w:vAlign w:val="center"/>
          </w:tcPr>
          <w:p w14:paraId="71173C67">
            <w:pPr>
              <w:numPr>
                <w:ilvl w:val="0"/>
                <w:numId w:val="0"/>
              </w:numPr>
              <w:spacing w:line="500" w:lineRule="exact"/>
              <w:jc w:val="left"/>
              <w:rPr>
                <w:rFonts w:hint="eastAsia"/>
                <w:sz w:val="24"/>
                <w:highlight w:val="none"/>
              </w:rPr>
            </w:pPr>
            <w:r>
              <w:rPr>
                <w:rFonts w:hint="eastAsia"/>
                <w:sz w:val="24"/>
                <w:highlight w:val="none"/>
              </w:rPr>
              <w:t>（1）在中华人民共和国境内依法注册的具有合法经营资格的独立法人；</w:t>
            </w:r>
          </w:p>
          <w:p w14:paraId="35437CFB">
            <w:pPr>
              <w:numPr>
                <w:ilvl w:val="0"/>
                <w:numId w:val="0"/>
              </w:numPr>
              <w:spacing w:line="500" w:lineRule="exact"/>
              <w:jc w:val="left"/>
              <w:rPr>
                <w:sz w:val="24"/>
                <w:highlight w:val="none"/>
              </w:rPr>
            </w:pPr>
            <w:r>
              <w:rPr>
                <w:rFonts w:hint="eastAsia"/>
                <w:sz w:val="24"/>
                <w:highlight w:val="none"/>
              </w:rPr>
              <w:t>（2）具备</w:t>
            </w:r>
            <w:r>
              <w:rPr>
                <w:rFonts w:hint="eastAsia"/>
                <w:sz w:val="24"/>
                <w:highlight w:val="none"/>
                <w:lang w:eastAsia="zh-CN"/>
              </w:rPr>
              <w:t>商品混凝土生产及销售</w:t>
            </w:r>
            <w:r>
              <w:rPr>
                <w:rFonts w:hint="eastAsia"/>
                <w:sz w:val="24"/>
                <w:highlight w:val="none"/>
              </w:rPr>
              <w:t>行业资质；</w:t>
            </w:r>
          </w:p>
        </w:tc>
      </w:tr>
      <w:tr w14:paraId="55AA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2215" w:type="dxa"/>
            <w:vAlign w:val="center"/>
          </w:tcPr>
          <w:p w14:paraId="3C978B9A">
            <w:pPr>
              <w:spacing w:line="500" w:lineRule="exact"/>
              <w:jc w:val="center"/>
              <w:rPr>
                <w:sz w:val="24"/>
                <w:highlight w:val="none"/>
              </w:rPr>
            </w:pPr>
            <w:r>
              <w:rPr>
                <w:rFonts w:hint="eastAsia"/>
                <w:sz w:val="24"/>
                <w:highlight w:val="none"/>
              </w:rPr>
              <w:t>企业信用</w:t>
            </w:r>
          </w:p>
        </w:tc>
        <w:tc>
          <w:tcPr>
            <w:tcW w:w="7884" w:type="dxa"/>
            <w:vAlign w:val="center"/>
          </w:tcPr>
          <w:p w14:paraId="48B5B1D5">
            <w:pPr>
              <w:spacing w:line="400" w:lineRule="exact"/>
              <w:rPr>
                <w:rFonts w:ascii="宋体" w:hAnsi="宋体" w:eastAsia="宋体" w:cs="宋体"/>
                <w:sz w:val="24"/>
              </w:rPr>
            </w:pPr>
            <w:r>
              <w:rPr>
                <w:rFonts w:hint="eastAsia" w:ascii="宋体" w:hAnsi="宋体" w:eastAsia="宋体" w:cs="宋体"/>
                <w:sz w:val="24"/>
              </w:rPr>
              <w:t>（1）报名单位在国家企业信用信息公示系统中未被列入严重违法失信企业名单；</w:t>
            </w:r>
          </w:p>
          <w:p w14:paraId="71ED029F">
            <w:pPr>
              <w:spacing w:line="500" w:lineRule="exact"/>
              <w:rPr>
                <w:sz w:val="24"/>
                <w:highlight w:val="none"/>
              </w:rPr>
            </w:pPr>
            <w:r>
              <w:rPr>
                <w:rFonts w:hint="eastAsia" w:ascii="宋体" w:hAnsi="宋体" w:eastAsia="宋体" w:cs="宋体"/>
                <w:sz w:val="24"/>
              </w:rPr>
              <w:t>（2）报名单位在“信用中国”或地方信用网站的信用信息报告中无不良记录；</w:t>
            </w:r>
          </w:p>
        </w:tc>
      </w:tr>
      <w:tr w14:paraId="425A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2215" w:type="dxa"/>
            <w:vAlign w:val="center"/>
          </w:tcPr>
          <w:p w14:paraId="7BC7A5F5">
            <w:pPr>
              <w:spacing w:line="500" w:lineRule="exact"/>
              <w:jc w:val="center"/>
              <w:rPr>
                <w:sz w:val="24"/>
                <w:highlight w:val="none"/>
              </w:rPr>
            </w:pPr>
            <w:r>
              <w:rPr>
                <w:rFonts w:hint="eastAsia" w:ascii="宋体" w:hAnsi="宋体" w:eastAsia="宋体" w:cs="宋体"/>
                <w:sz w:val="24"/>
                <w:highlight w:val="none"/>
              </w:rPr>
              <w:t>材料要求</w:t>
            </w:r>
          </w:p>
        </w:tc>
        <w:tc>
          <w:tcPr>
            <w:tcW w:w="7884" w:type="dxa"/>
            <w:vAlign w:val="center"/>
          </w:tcPr>
          <w:p w14:paraId="18D8DB9F">
            <w:pPr>
              <w:spacing w:line="500" w:lineRule="exact"/>
              <w:jc w:val="left"/>
              <w:rPr>
                <w:sz w:val="24"/>
                <w:highlight w:val="none"/>
              </w:rPr>
            </w:pPr>
            <w:r>
              <w:rPr>
                <w:sz w:val="24"/>
                <w:highlight w:val="none"/>
              </w:rPr>
              <w:t>粉煤、矿粉掺入总量及指标要求</w:t>
            </w:r>
            <w:r>
              <w:rPr>
                <w:rFonts w:hint="eastAsia"/>
                <w:sz w:val="24"/>
                <w:highlight w:val="none"/>
              </w:rPr>
              <w:t>：</w:t>
            </w:r>
          </w:p>
          <w:p w14:paraId="39087CB2">
            <w:pPr>
              <w:spacing w:line="500" w:lineRule="exact"/>
              <w:jc w:val="left"/>
              <w:rPr>
                <w:sz w:val="24"/>
                <w:highlight w:val="none"/>
              </w:rPr>
            </w:pPr>
            <w:r>
              <w:rPr>
                <w:sz w:val="24"/>
                <w:highlight w:val="none"/>
              </w:rPr>
              <w:t>面层结构</w:t>
            </w:r>
            <w:r>
              <w:rPr>
                <w:sz w:val="24"/>
                <w:highlight w:val="none"/>
              </w:rPr>
              <w:tab/>
            </w:r>
            <w:r>
              <w:rPr>
                <w:rFonts w:hint="eastAsia"/>
                <w:sz w:val="24"/>
                <w:highlight w:val="none"/>
              </w:rPr>
              <w:t>Ⅱ</w:t>
            </w:r>
            <w:r>
              <w:rPr>
                <w:rFonts w:hint="eastAsia"/>
                <w:sz w:val="24"/>
                <w:highlight w:val="none"/>
                <w:lang w:eastAsia="zh-CN"/>
              </w:rPr>
              <w:t>级</w:t>
            </w:r>
            <w:r>
              <w:rPr>
                <w:rFonts w:hint="eastAsia"/>
                <w:sz w:val="24"/>
                <w:highlight w:val="none"/>
              </w:rPr>
              <w:t>粉煤灰</w:t>
            </w:r>
            <w:r>
              <w:rPr>
                <w:sz w:val="24"/>
                <w:highlight w:val="none"/>
              </w:rPr>
              <w:t>＜20%</w:t>
            </w:r>
            <w:r>
              <w:rPr>
                <w:rFonts w:hint="eastAsia"/>
                <w:sz w:val="24"/>
                <w:highlight w:val="none"/>
                <w:lang w:eastAsia="zh-CN"/>
              </w:rPr>
              <w:t>，</w:t>
            </w:r>
            <w:r>
              <w:rPr>
                <w:sz w:val="24"/>
                <w:highlight w:val="none"/>
              </w:rPr>
              <w:t>矿粉:S95</w:t>
            </w:r>
            <w:r>
              <w:rPr>
                <w:rFonts w:hint="eastAsia"/>
                <w:sz w:val="24"/>
                <w:highlight w:val="none"/>
              </w:rPr>
              <w:t>。</w:t>
            </w:r>
          </w:p>
        </w:tc>
      </w:tr>
      <w:tr w14:paraId="568D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jc w:val="center"/>
        </w:trPr>
        <w:tc>
          <w:tcPr>
            <w:tcW w:w="2215" w:type="dxa"/>
            <w:vAlign w:val="center"/>
          </w:tcPr>
          <w:p w14:paraId="71652135">
            <w:pPr>
              <w:spacing w:line="500" w:lineRule="exact"/>
              <w:jc w:val="center"/>
              <w:rPr>
                <w:rFonts w:hint="eastAsia" w:ascii="宋体" w:hAnsi="宋体" w:cs="宋体" w:eastAsiaTheme="minorEastAsia"/>
                <w:sz w:val="24"/>
                <w:highlight w:val="none"/>
                <w:lang w:eastAsia="zh-CN"/>
              </w:rPr>
            </w:pPr>
            <w:r>
              <w:rPr>
                <w:rFonts w:hint="eastAsia"/>
                <w:sz w:val="24"/>
              </w:rPr>
              <w:t>报价</w:t>
            </w:r>
            <w:r>
              <w:rPr>
                <w:rFonts w:hint="eastAsia"/>
                <w:sz w:val="24"/>
                <w:lang w:eastAsia="zh-CN"/>
              </w:rPr>
              <w:t>要求</w:t>
            </w:r>
          </w:p>
        </w:tc>
        <w:tc>
          <w:tcPr>
            <w:tcW w:w="7884" w:type="dxa"/>
            <w:vAlign w:val="center"/>
          </w:tcPr>
          <w:p w14:paraId="4ED3E625">
            <w:pPr>
              <w:spacing w:line="500" w:lineRule="exact"/>
              <w:jc w:val="left"/>
              <w:rPr>
                <w:sz w:val="24"/>
                <w:highlight w:val="none"/>
              </w:rPr>
            </w:pPr>
            <w:r>
              <w:rPr>
                <w:rFonts w:hint="eastAsia"/>
                <w:sz w:val="24"/>
              </w:rPr>
              <w:t>不超过对应单价最高限价。</w:t>
            </w:r>
            <w:r>
              <w:rPr>
                <w:rFonts w:hint="eastAsia"/>
                <w:sz w:val="24"/>
                <w:lang w:eastAsia="zh-CN"/>
              </w:rPr>
              <w:t>根据江门工程造价信息网</w:t>
            </w:r>
            <w:r>
              <w:rPr>
                <w:rFonts w:hint="eastAsia"/>
                <w:sz w:val="24"/>
                <w:lang w:val="en-US" w:eastAsia="zh-CN"/>
              </w:rPr>
              <w:t>2025年</w:t>
            </w:r>
            <w:r>
              <w:rPr>
                <w:rFonts w:hint="eastAsia"/>
                <w:sz w:val="24"/>
                <w:lang w:eastAsia="zh-CN"/>
              </w:rPr>
              <w:t>10月单价下浮</w:t>
            </w:r>
            <w:r>
              <w:rPr>
                <w:rFonts w:hint="eastAsia"/>
                <w:sz w:val="24"/>
                <w:lang w:val="en-US" w:eastAsia="zh-CN"/>
              </w:rPr>
              <w:t>20</w:t>
            </w:r>
            <w:r>
              <w:rPr>
                <w:rFonts w:hint="eastAsia"/>
                <w:sz w:val="24"/>
                <w:lang w:eastAsia="zh-CN"/>
              </w:rPr>
              <w:t>%，</w:t>
            </w:r>
            <w:r>
              <w:rPr>
                <w:rFonts w:hint="eastAsia"/>
                <w:sz w:val="24"/>
                <w:lang w:val="en-US" w:eastAsia="zh-CN"/>
              </w:rPr>
              <w:t>C45普通商品混凝土不超过365</w:t>
            </w:r>
            <w:r>
              <w:rPr>
                <w:rFonts w:hint="eastAsia"/>
                <w:sz w:val="24"/>
                <w:lang w:eastAsia="zh-CN"/>
              </w:rPr>
              <w:t>元/</w:t>
            </w:r>
            <w:r>
              <w:rPr>
                <w:rFonts w:hint="eastAsia"/>
                <w:sz w:val="24"/>
                <w:lang w:val="en-US" w:eastAsia="zh-CN"/>
              </w:rPr>
              <w:t>m³</w:t>
            </w:r>
            <w:r>
              <w:rPr>
                <w:rFonts w:hint="eastAsia"/>
                <w:sz w:val="24"/>
                <w:lang w:eastAsia="zh-CN"/>
              </w:rPr>
              <w:t>。</w:t>
            </w:r>
          </w:p>
        </w:tc>
      </w:tr>
    </w:tbl>
    <w:p w14:paraId="0C9D5081">
      <w:pPr>
        <w:numPr>
          <w:ilvl w:val="0"/>
          <w:numId w:val="1"/>
        </w:numPr>
        <w:spacing w:line="560" w:lineRule="exact"/>
        <w:ind w:firstLine="560"/>
        <w:jc w:val="left"/>
        <w:rPr>
          <w:b/>
          <w:bCs/>
          <w:sz w:val="24"/>
          <w:highlight w:val="none"/>
        </w:rPr>
      </w:pPr>
      <w:r>
        <w:rPr>
          <w:rFonts w:hint="eastAsia"/>
          <w:b/>
          <w:bCs/>
          <w:sz w:val="24"/>
          <w:highlight w:val="none"/>
        </w:rPr>
        <w:t>详细评审</w:t>
      </w:r>
    </w:p>
    <w:p w14:paraId="67AD37A6">
      <w:pPr>
        <w:spacing w:line="560" w:lineRule="exact"/>
        <w:ind w:left="480"/>
        <w:jc w:val="left"/>
        <w:rPr>
          <w:sz w:val="24"/>
          <w:highlight w:val="none"/>
        </w:rPr>
      </w:pPr>
      <w:r>
        <w:rPr>
          <w:rFonts w:hint="eastAsia"/>
          <w:sz w:val="24"/>
          <w:highlight w:val="none"/>
        </w:rPr>
        <w:t>报价得分计算</w:t>
      </w:r>
    </w:p>
    <w:tbl>
      <w:tblPr>
        <w:tblStyle w:val="6"/>
        <w:tblW w:w="9738" w:type="dxa"/>
        <w:tblInd w:w="93" w:type="dxa"/>
        <w:tblLayout w:type="fixed"/>
        <w:tblCellMar>
          <w:top w:w="0" w:type="dxa"/>
          <w:left w:w="108" w:type="dxa"/>
          <w:bottom w:w="0" w:type="dxa"/>
          <w:right w:w="108" w:type="dxa"/>
        </w:tblCellMar>
      </w:tblPr>
      <w:tblGrid>
        <w:gridCol w:w="682"/>
        <w:gridCol w:w="2390"/>
        <w:gridCol w:w="2479"/>
        <w:gridCol w:w="1403"/>
        <w:gridCol w:w="2784"/>
      </w:tblGrid>
      <w:tr w14:paraId="2AA589BD">
        <w:tblPrEx>
          <w:tblCellMar>
            <w:top w:w="0" w:type="dxa"/>
            <w:left w:w="108" w:type="dxa"/>
            <w:bottom w:w="0" w:type="dxa"/>
            <w:right w:w="108" w:type="dxa"/>
          </w:tblCellMar>
        </w:tblPrEx>
        <w:trPr>
          <w:trHeight w:val="817" w:hRule="atLeast"/>
        </w:trPr>
        <w:tc>
          <w:tcPr>
            <w:tcW w:w="68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067F034">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序号</w:t>
            </w:r>
          </w:p>
        </w:tc>
        <w:tc>
          <w:tcPr>
            <w:tcW w:w="23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B7EB005">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报价单位</w:t>
            </w:r>
          </w:p>
        </w:tc>
        <w:tc>
          <w:tcPr>
            <w:tcW w:w="247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E613773">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混凝土品目</w:t>
            </w:r>
          </w:p>
        </w:tc>
        <w:tc>
          <w:tcPr>
            <w:tcW w:w="140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F220D67">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得分</w:t>
            </w:r>
          </w:p>
        </w:tc>
        <w:tc>
          <w:tcPr>
            <w:tcW w:w="2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645B">
            <w:pPr>
              <w:widowControl/>
              <w:jc w:val="center"/>
              <w:textAlignment w:val="center"/>
              <w:rPr>
                <w:rFonts w:ascii="宋体" w:hAnsi="宋体" w:eastAsia="宋体" w:cs="宋体"/>
                <w:color w:val="000000"/>
                <w:sz w:val="24"/>
                <w:highlight w:val="none"/>
              </w:rPr>
            </w:pPr>
            <w:r>
              <w:rPr>
                <w:rStyle w:val="12"/>
                <w:sz w:val="24"/>
              </w:rPr>
              <w:t>评标指标</w:t>
            </w:r>
          </w:p>
        </w:tc>
      </w:tr>
      <w:tr w14:paraId="55AC3EBF">
        <w:tblPrEx>
          <w:tblCellMar>
            <w:top w:w="0" w:type="dxa"/>
            <w:left w:w="108" w:type="dxa"/>
            <w:bottom w:w="0" w:type="dxa"/>
            <w:right w:w="108" w:type="dxa"/>
          </w:tblCellMar>
        </w:tblPrEx>
        <w:trPr>
          <w:trHeight w:val="2438" w:hRule="atLeast"/>
        </w:trPr>
        <w:tc>
          <w:tcPr>
            <w:tcW w:w="682"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E2C2B72">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w:t>
            </w:r>
          </w:p>
        </w:tc>
        <w:tc>
          <w:tcPr>
            <w:tcW w:w="239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3EFF51FB">
            <w:pPr>
              <w:widowControl/>
              <w:jc w:val="center"/>
              <w:textAlignment w:val="center"/>
              <w:rPr>
                <w:rFonts w:ascii="宋体" w:hAnsi="宋体" w:eastAsia="宋体" w:cs="宋体"/>
                <w:color w:val="000000"/>
                <w:sz w:val="24"/>
                <w:highlight w:val="none"/>
              </w:rPr>
            </w:pPr>
          </w:p>
        </w:tc>
        <w:tc>
          <w:tcPr>
            <w:tcW w:w="2479"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B387C81">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C45（面层结构</w:t>
            </w:r>
            <w:r>
              <w:rPr>
                <w:rFonts w:hint="eastAsia" w:ascii="宋体" w:hAnsi="宋体" w:eastAsia="宋体" w:cs="宋体"/>
                <w:color w:val="000000"/>
                <w:kern w:val="0"/>
                <w:szCs w:val="21"/>
                <w:highlight w:val="none"/>
                <w:lang w:eastAsia="zh-CN" w:bidi="ar"/>
              </w:rPr>
              <w:t>，抗折5.0MPa</w:t>
            </w:r>
            <w:r>
              <w:rPr>
                <w:rFonts w:hint="eastAsia" w:ascii="宋体" w:hAnsi="宋体" w:eastAsia="宋体" w:cs="宋体"/>
                <w:color w:val="000000"/>
                <w:kern w:val="0"/>
                <w:szCs w:val="21"/>
                <w:highlight w:val="none"/>
                <w:lang w:bidi="ar"/>
              </w:rPr>
              <w:t>）</w:t>
            </w:r>
          </w:p>
        </w:tc>
        <w:tc>
          <w:tcPr>
            <w:tcW w:w="1403"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0C81DB52">
            <w:pPr>
              <w:jc w:val="center"/>
              <w:rPr>
                <w:rFonts w:ascii="宋体" w:hAnsi="宋体" w:eastAsia="宋体" w:cs="宋体"/>
                <w:color w:val="000000"/>
                <w:sz w:val="21"/>
                <w:szCs w:val="21"/>
                <w:highlight w:val="none"/>
              </w:rPr>
            </w:pPr>
          </w:p>
        </w:tc>
        <w:tc>
          <w:tcPr>
            <w:tcW w:w="2784" w:type="dxa"/>
            <w:tcBorders>
              <w:top w:val="single" w:color="000000" w:sz="4" w:space="0"/>
              <w:left w:val="single" w:color="auto" w:sz="4" w:space="0"/>
              <w:bottom w:val="single" w:color="000000" w:sz="4" w:space="0"/>
              <w:right w:val="single" w:color="000000" w:sz="4" w:space="0"/>
            </w:tcBorders>
            <w:shd w:val="clear" w:color="auto" w:fill="auto"/>
            <w:vAlign w:val="center"/>
          </w:tcPr>
          <w:p w14:paraId="49EF6919">
            <w:pPr>
              <w:adjustRightInd/>
              <w:spacing w:before="312" w:beforeLines="100" w:line="360" w:lineRule="auto"/>
              <w:jc w:val="both"/>
              <w:textAlignment w:val="auto"/>
              <w:rPr>
                <w:rFonts w:hint="default" w:ascii="宋体" w:hAnsi="宋体" w:eastAsia="宋体" w:cs="宋体"/>
                <w:lang w:val="en-US" w:eastAsia="zh-CN"/>
              </w:rPr>
            </w:pPr>
            <w:r>
              <w:rPr>
                <w:rFonts w:ascii="宋体" w:hAnsi="宋体" w:cs="宋体"/>
              </w:rPr>
              <w:t>报价得分=</w:t>
            </w:r>
            <w:r>
              <w:rPr>
                <w:rFonts w:hint="eastAsia" w:ascii="宋体" w:hAnsi="宋体" w:cs="宋体"/>
              </w:rPr>
              <w:t>（</w:t>
            </w:r>
            <w:r>
              <w:rPr>
                <w:rFonts w:hint="eastAsia" w:ascii="宋体" w:hAnsi="宋体" w:cs="宋体"/>
                <w:lang w:val="en-US" w:eastAsia="zh-CN"/>
              </w:rPr>
              <w:t>投标最低报价</w:t>
            </w:r>
            <w:r>
              <w:rPr>
                <w:rFonts w:hint="eastAsia" w:ascii="宋体" w:hAnsi="宋体" w:cs="宋体"/>
              </w:rPr>
              <w:t>÷</w:t>
            </w:r>
            <w:r>
              <w:rPr>
                <w:rFonts w:hint="eastAsia" w:ascii="宋体" w:hAnsi="宋体" w:cs="宋体"/>
                <w:lang w:val="en-US" w:eastAsia="zh-CN"/>
              </w:rPr>
              <w:t>投标报价</w:t>
            </w:r>
            <w:r>
              <w:rPr>
                <w:rFonts w:hint="eastAsia" w:ascii="宋体" w:hAnsi="宋体" w:cs="宋体"/>
              </w:rPr>
              <w:t>）*</w:t>
            </w:r>
            <w:r>
              <w:rPr>
                <w:rFonts w:hint="eastAsia" w:ascii="宋体" w:hAnsi="宋体" w:cs="宋体"/>
                <w:lang w:val="en-US" w:eastAsia="zh-CN"/>
              </w:rPr>
              <w:t>100</w:t>
            </w:r>
          </w:p>
          <w:p w14:paraId="1A568D14">
            <w:pPr>
              <w:jc w:val="center"/>
              <w:rPr>
                <w:rFonts w:ascii="宋体" w:hAnsi="宋体" w:eastAsia="宋体" w:cs="宋体"/>
                <w:color w:val="000000"/>
                <w:sz w:val="21"/>
                <w:szCs w:val="21"/>
                <w:highlight w:val="none"/>
              </w:rPr>
            </w:pPr>
            <w:r>
              <w:rPr>
                <w:rFonts w:hint="eastAsia" w:hAnsi="宋体" w:cs="宋体"/>
                <w:kern w:val="2"/>
                <w:sz w:val="21"/>
                <w:szCs w:val="21"/>
              </w:rPr>
              <w:t>得分计算保留到小数点后1位。</w:t>
            </w:r>
          </w:p>
        </w:tc>
      </w:tr>
    </w:tbl>
    <w:p w14:paraId="0E27F301">
      <w:pPr>
        <w:spacing w:line="400" w:lineRule="exact"/>
        <w:jc w:val="left"/>
        <w:rPr>
          <w:rFonts w:ascii="宋体" w:hAnsi="宋体" w:eastAsia="宋体" w:cs="宋体"/>
          <w:sz w:val="24"/>
          <w:highlight w:val="none"/>
        </w:rPr>
      </w:pPr>
    </w:p>
    <w:p w14:paraId="7405C3F7">
      <w:pPr>
        <w:spacing w:line="560" w:lineRule="exact"/>
        <w:jc w:val="right"/>
        <w:rPr>
          <w:rFonts w:ascii="宋体" w:hAnsi="宋体" w:eastAsia="宋体" w:cs="宋体"/>
          <w:sz w:val="24"/>
          <w:highlight w:val="none"/>
        </w:rPr>
      </w:pPr>
    </w:p>
    <w:p w14:paraId="5902559C">
      <w:pPr>
        <w:spacing w:line="560" w:lineRule="exact"/>
        <w:jc w:val="right"/>
        <w:rPr>
          <w:rFonts w:ascii="宋体" w:hAnsi="宋体" w:eastAsia="宋体" w:cs="宋体"/>
          <w:sz w:val="24"/>
          <w:highlight w:val="none"/>
        </w:rPr>
      </w:pPr>
    </w:p>
    <w:p w14:paraId="50DEC56A">
      <w:pPr>
        <w:spacing w:line="560" w:lineRule="exact"/>
        <w:jc w:val="right"/>
        <w:rPr>
          <w:rFonts w:ascii="宋体" w:hAnsi="宋体" w:eastAsia="宋体" w:cs="宋体"/>
          <w:sz w:val="24"/>
          <w:highlight w:val="none"/>
        </w:rPr>
      </w:pPr>
      <w:r>
        <w:rPr>
          <w:rFonts w:hint="eastAsia" w:ascii="宋体" w:hAnsi="宋体" w:eastAsia="宋体" w:cs="宋体"/>
          <w:sz w:val="24"/>
          <w:highlight w:val="none"/>
        </w:rPr>
        <w:t>招标人：江门市新会公路局养护中心</w:t>
      </w:r>
    </w:p>
    <w:p w14:paraId="279F3301">
      <w:pPr>
        <w:spacing w:line="560" w:lineRule="exact"/>
        <w:jc w:val="center"/>
        <w:rPr>
          <w:rFonts w:ascii="宋体" w:hAnsi="宋体" w:eastAsia="宋体" w:cs="宋体"/>
          <w:color w:val="FF0000"/>
          <w:sz w:val="24"/>
          <w:highlight w:val="none"/>
        </w:rPr>
      </w:pPr>
      <w:r>
        <w:rPr>
          <w:rFonts w:hint="eastAsia" w:ascii="宋体" w:hAnsi="宋体" w:eastAsia="宋体" w:cs="宋体"/>
          <w:sz w:val="24"/>
          <w:highlight w:val="none"/>
        </w:rPr>
        <w:t xml:space="preserve">                                        日  期：202</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D02EAA"/>
    <w:multiLevelType w:val="singleLevel"/>
    <w:tmpl w:val="E0D02EA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MzkxYjFiMmFkYWNlOWMyMTc1NmU0ZmI1MjE4ODIifQ=="/>
  </w:docVars>
  <w:rsids>
    <w:rsidRoot w:val="0B7D4A0D"/>
    <w:rsid w:val="00056A68"/>
    <w:rsid w:val="00347F45"/>
    <w:rsid w:val="0039412E"/>
    <w:rsid w:val="004B5441"/>
    <w:rsid w:val="007E7D0F"/>
    <w:rsid w:val="009C223A"/>
    <w:rsid w:val="00A33586"/>
    <w:rsid w:val="00B506CE"/>
    <w:rsid w:val="00B82116"/>
    <w:rsid w:val="00DC5072"/>
    <w:rsid w:val="00DE1A58"/>
    <w:rsid w:val="00ED6C57"/>
    <w:rsid w:val="00FA775F"/>
    <w:rsid w:val="01635C49"/>
    <w:rsid w:val="04830723"/>
    <w:rsid w:val="05B0679A"/>
    <w:rsid w:val="0874152A"/>
    <w:rsid w:val="098849BD"/>
    <w:rsid w:val="0B7D4A0D"/>
    <w:rsid w:val="113D3447"/>
    <w:rsid w:val="12903B41"/>
    <w:rsid w:val="12A00B7B"/>
    <w:rsid w:val="12C910FC"/>
    <w:rsid w:val="12DB5F87"/>
    <w:rsid w:val="14883EEC"/>
    <w:rsid w:val="182E2E69"/>
    <w:rsid w:val="18892D35"/>
    <w:rsid w:val="18B573A8"/>
    <w:rsid w:val="197C6CEE"/>
    <w:rsid w:val="19E5B12C"/>
    <w:rsid w:val="1F4D6497"/>
    <w:rsid w:val="1FD70B55"/>
    <w:rsid w:val="247D957F"/>
    <w:rsid w:val="25FBDF70"/>
    <w:rsid w:val="28524F22"/>
    <w:rsid w:val="28974D43"/>
    <w:rsid w:val="293D309F"/>
    <w:rsid w:val="29820EEF"/>
    <w:rsid w:val="2A052FDD"/>
    <w:rsid w:val="2BDF2325"/>
    <w:rsid w:val="2BED205D"/>
    <w:rsid w:val="2BFFC151"/>
    <w:rsid w:val="2FE9188B"/>
    <w:rsid w:val="306443BF"/>
    <w:rsid w:val="31781C5A"/>
    <w:rsid w:val="32C739DA"/>
    <w:rsid w:val="33B75670"/>
    <w:rsid w:val="34DFFFD4"/>
    <w:rsid w:val="367FFE88"/>
    <w:rsid w:val="37DFAD21"/>
    <w:rsid w:val="37FFB1A7"/>
    <w:rsid w:val="38A24CCD"/>
    <w:rsid w:val="38FB4E4D"/>
    <w:rsid w:val="39F7ABB5"/>
    <w:rsid w:val="3AF45588"/>
    <w:rsid w:val="3B546B61"/>
    <w:rsid w:val="3BBA9D43"/>
    <w:rsid w:val="3D255BCB"/>
    <w:rsid w:val="3EE74E40"/>
    <w:rsid w:val="3EED6C03"/>
    <w:rsid w:val="3FE61C4A"/>
    <w:rsid w:val="402B1A9F"/>
    <w:rsid w:val="41282F08"/>
    <w:rsid w:val="4715773F"/>
    <w:rsid w:val="47E10C42"/>
    <w:rsid w:val="4A6F69D9"/>
    <w:rsid w:val="4CFF54A1"/>
    <w:rsid w:val="4DBA685E"/>
    <w:rsid w:val="4E1A3BE8"/>
    <w:rsid w:val="4FDB698B"/>
    <w:rsid w:val="4FEE6915"/>
    <w:rsid w:val="527C7665"/>
    <w:rsid w:val="52904CED"/>
    <w:rsid w:val="53074AA3"/>
    <w:rsid w:val="573A4FED"/>
    <w:rsid w:val="584B2674"/>
    <w:rsid w:val="5B1F16BB"/>
    <w:rsid w:val="5BEF5D5C"/>
    <w:rsid w:val="5BFFC73A"/>
    <w:rsid w:val="5CE03419"/>
    <w:rsid w:val="5E44187C"/>
    <w:rsid w:val="5EE0038C"/>
    <w:rsid w:val="659842EF"/>
    <w:rsid w:val="65AC4B11"/>
    <w:rsid w:val="670E33AA"/>
    <w:rsid w:val="67BB51E4"/>
    <w:rsid w:val="6B054A88"/>
    <w:rsid w:val="6EBFECBF"/>
    <w:rsid w:val="6EC34B5F"/>
    <w:rsid w:val="6F7DBD12"/>
    <w:rsid w:val="6FEF8099"/>
    <w:rsid w:val="6FF6EEFD"/>
    <w:rsid w:val="6FFFECA9"/>
    <w:rsid w:val="73FE5E56"/>
    <w:rsid w:val="75FE4D21"/>
    <w:rsid w:val="76434265"/>
    <w:rsid w:val="76EFB3A9"/>
    <w:rsid w:val="76FB3047"/>
    <w:rsid w:val="76FE9B15"/>
    <w:rsid w:val="77433A3A"/>
    <w:rsid w:val="77D63E86"/>
    <w:rsid w:val="78FD93EB"/>
    <w:rsid w:val="797FC96A"/>
    <w:rsid w:val="79F5D7C4"/>
    <w:rsid w:val="7ADB2036"/>
    <w:rsid w:val="7B1F00D8"/>
    <w:rsid w:val="7CAD5210"/>
    <w:rsid w:val="7D2F69F8"/>
    <w:rsid w:val="7D5D42EC"/>
    <w:rsid w:val="7D723DB3"/>
    <w:rsid w:val="7DEF0708"/>
    <w:rsid w:val="7E353E5F"/>
    <w:rsid w:val="7EDFD655"/>
    <w:rsid w:val="7EF6A214"/>
    <w:rsid w:val="7FB74FF8"/>
    <w:rsid w:val="7FCF4FA4"/>
    <w:rsid w:val="7FFF247C"/>
    <w:rsid w:val="7FFF78F1"/>
    <w:rsid w:val="9FBFA51A"/>
    <w:rsid w:val="A7C42BBB"/>
    <w:rsid w:val="AFEF51B4"/>
    <w:rsid w:val="BDDD5508"/>
    <w:rsid w:val="BFCF58D1"/>
    <w:rsid w:val="BFD6BAD1"/>
    <w:rsid w:val="C4F7F25F"/>
    <w:rsid w:val="CAF6EC4A"/>
    <w:rsid w:val="CF5CE3BA"/>
    <w:rsid w:val="CFF6C37F"/>
    <w:rsid w:val="D2FBB765"/>
    <w:rsid w:val="D7FF2E81"/>
    <w:rsid w:val="DF5DF2EF"/>
    <w:rsid w:val="DF966BAD"/>
    <w:rsid w:val="DFEE3BE2"/>
    <w:rsid w:val="E87B54DD"/>
    <w:rsid w:val="EBCFD8B5"/>
    <w:rsid w:val="EBED2D28"/>
    <w:rsid w:val="EBFD98DB"/>
    <w:rsid w:val="ED5F03D6"/>
    <w:rsid w:val="F0F73338"/>
    <w:rsid w:val="F67BBE8A"/>
    <w:rsid w:val="F70E1B2F"/>
    <w:rsid w:val="F777C342"/>
    <w:rsid w:val="F9FD011D"/>
    <w:rsid w:val="FA6FDB5A"/>
    <w:rsid w:val="FABB2C5A"/>
    <w:rsid w:val="FB7C592D"/>
    <w:rsid w:val="FBDF8AD5"/>
    <w:rsid w:val="FBF1E456"/>
    <w:rsid w:val="FDDFA71A"/>
    <w:rsid w:val="FF26104D"/>
    <w:rsid w:val="FFB70F1B"/>
    <w:rsid w:val="FFBADAE3"/>
    <w:rsid w:val="FFBE74BC"/>
    <w:rsid w:val="FFDCD195"/>
    <w:rsid w:val="FFDDA231"/>
    <w:rsid w:val="FFFD0CE6"/>
    <w:rsid w:val="FFFD0E1E"/>
    <w:rsid w:val="FFFDC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0"/>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0"/>
    <w:rPr>
      <w:kern w:val="2"/>
      <w:sz w:val="18"/>
      <w:szCs w:val="18"/>
    </w:rPr>
  </w:style>
  <w:style w:type="character" w:customStyle="1" w:styleId="10">
    <w:name w:val="页脚 Char"/>
    <w:basedOn w:val="8"/>
    <w:link w:val="3"/>
    <w:qFormat/>
    <w:uiPriority w:val="0"/>
    <w:rPr>
      <w:kern w:val="2"/>
      <w:sz w:val="18"/>
      <w:szCs w:val="18"/>
    </w:rPr>
  </w:style>
  <w:style w:type="paragraph" w:styleId="11">
    <w:name w:val="List Paragraph"/>
    <w:basedOn w:val="1"/>
    <w:unhideWhenUsed/>
    <w:qFormat/>
    <w:uiPriority w:val="99"/>
    <w:pPr>
      <w:ind w:firstLine="420" w:firstLineChars="200"/>
    </w:pPr>
  </w:style>
  <w:style w:type="character" w:customStyle="1" w:styleId="12">
    <w:name w:val="正文文本 (2)"/>
    <w:basedOn w:val="8"/>
    <w:qFormat/>
    <w:uiPriority w:val="0"/>
    <w:rPr>
      <w:rFonts w:ascii="宋体" w:hAnsi="宋体" w:eastAsia="宋体" w:cs="宋体"/>
      <w:color w:val="000000"/>
      <w:spacing w:val="10"/>
      <w:w w:val="100"/>
      <w:position w:val="0"/>
      <w:sz w:val="22"/>
      <w:szCs w:val="22"/>
      <w:u w:val="none"/>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江门市市公路事务中心</Company>
  <Pages>2</Pages>
  <Words>523</Words>
  <Characters>571</Characters>
  <Lines>6</Lines>
  <Paragraphs>1</Paragraphs>
  <TotalTime>1</TotalTime>
  <ScaleCrop>false</ScaleCrop>
  <LinksUpToDate>false</LinksUpToDate>
  <CharactersWithSpaces>614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2023-07-14T04:11:00Z</dcterms:created>
  <dc:creator>Administrator</dc:creator>
  <cp:lastModifiedBy>张晓茵</cp:lastModifiedBy>
  <cp:lastPrinted>2023-07-21T23:46:00Z</cp:lastPrinted>
  <dcterms:modified xsi:type="dcterms:W3CDTF">2025-11-26T08:24:14Z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35005FD55F72484FB576A2B3A11A4523_13</vt:lpwstr>
  </property>
  <property fmtid="{D5CDD505-2E9C-101B-9397-08002B2CF9AE}" pid="4" name="KSOTemplateDocerSaveRecord">
    <vt:lpwstr>eyJoZGlkIjoiMGMwNzZhN2EyNzczOGUwY2MxNDk4NmI1N2Q3YzAzMmEiLCJ1c2VySWQiOiIxNzIwMzQ0MTIzIn0=</vt:lpwstr>
  </property>
</Properties>
</file>