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eastAsiaTheme="minorEastAsia"/>
          <w:b/>
          <w:bCs/>
          <w:sz w:val="28"/>
          <w:szCs w:val="28"/>
          <w:highlight w:val="none"/>
          <w:lang w:val="en-US" w:eastAsia="zh-CN"/>
        </w:rPr>
      </w:pPr>
      <w:r>
        <w:rPr>
          <w:rFonts w:hint="eastAsia"/>
          <w:b/>
          <w:bCs/>
          <w:sz w:val="28"/>
          <w:szCs w:val="28"/>
          <w:highlight w:val="none"/>
          <w:lang w:eastAsia="zh-CN"/>
        </w:rPr>
        <w:t>附件</w:t>
      </w:r>
      <w:r>
        <w:rPr>
          <w:rFonts w:hint="eastAsia"/>
          <w:b/>
          <w:bCs/>
          <w:sz w:val="28"/>
          <w:szCs w:val="28"/>
          <w:highlight w:val="none"/>
          <w:lang w:val="en-US" w:eastAsia="zh-CN"/>
        </w:rPr>
        <w:t>1</w:t>
      </w:r>
    </w:p>
    <w:p>
      <w:pPr>
        <w:spacing w:line="560" w:lineRule="exact"/>
        <w:jc w:val="center"/>
        <w:rPr>
          <w:b/>
          <w:bCs/>
          <w:sz w:val="28"/>
          <w:szCs w:val="28"/>
          <w:highlight w:val="none"/>
        </w:rPr>
      </w:pPr>
      <w:r>
        <w:rPr>
          <w:rFonts w:hint="eastAsia"/>
          <w:b/>
          <w:bCs/>
          <w:sz w:val="28"/>
          <w:szCs w:val="28"/>
          <w:highlight w:val="none"/>
        </w:rPr>
        <w:t>江门市新会公路局养护中心2026年度公路养护</w:t>
      </w:r>
      <w:r>
        <w:rPr>
          <w:rFonts w:hint="eastAsia"/>
          <w:b/>
          <w:bCs/>
          <w:sz w:val="28"/>
          <w:szCs w:val="28"/>
          <w:highlight w:val="none"/>
          <w:lang w:eastAsia="zh-CN"/>
        </w:rPr>
        <w:t>商品</w:t>
      </w:r>
      <w:r>
        <w:rPr>
          <w:rFonts w:hint="eastAsia"/>
          <w:b/>
          <w:bCs/>
          <w:sz w:val="28"/>
          <w:szCs w:val="28"/>
          <w:highlight w:val="none"/>
        </w:rPr>
        <w:t>混凝土采购评选办法</w:t>
      </w:r>
    </w:p>
    <w:p>
      <w:pPr>
        <w:spacing w:line="560" w:lineRule="exact"/>
        <w:ind w:firstLine="560"/>
        <w:jc w:val="left"/>
        <w:rPr>
          <w:b/>
          <w:bCs/>
          <w:sz w:val="24"/>
          <w:highlight w:val="none"/>
        </w:rPr>
      </w:pPr>
      <w:r>
        <w:rPr>
          <w:rFonts w:hint="eastAsia"/>
          <w:b/>
          <w:bCs/>
          <w:sz w:val="24"/>
          <w:highlight w:val="none"/>
        </w:rPr>
        <w:t>一、本采购项目采用综合评分选取方式</w:t>
      </w:r>
    </w:p>
    <w:p>
      <w:pPr>
        <w:spacing w:line="560" w:lineRule="exact"/>
        <w:ind w:firstLine="560"/>
        <w:jc w:val="left"/>
        <w:rPr>
          <w:sz w:val="24"/>
          <w:highlight w:val="none"/>
        </w:rPr>
      </w:pPr>
      <w:r>
        <w:rPr>
          <w:rFonts w:hint="eastAsia"/>
          <w:sz w:val="24"/>
          <w:highlight w:val="none"/>
        </w:rPr>
        <w:t>本次采购采用综合评选的方式确定中选单位。采购评选小组先对投标单位进行初步评审；然后对满足初步评审要求的投标单位各品目的报价进行加权得分计算，按照报价加权总得分由低到高顺序推荐最多三家为中标候选人，如两家以上（含两家）报价单位得分相同，则由评审小组商议确定报价单位顺位。</w:t>
      </w:r>
    </w:p>
    <w:p>
      <w:pPr>
        <w:numPr>
          <w:ilvl w:val="0"/>
          <w:numId w:val="1"/>
        </w:numPr>
        <w:spacing w:line="560" w:lineRule="exact"/>
        <w:ind w:firstLine="560"/>
        <w:jc w:val="left"/>
        <w:rPr>
          <w:b/>
          <w:bCs/>
          <w:sz w:val="24"/>
          <w:highlight w:val="none"/>
        </w:rPr>
      </w:pPr>
      <w:r>
        <w:rPr>
          <w:rFonts w:hint="eastAsia"/>
          <w:b/>
          <w:bCs/>
          <w:sz w:val="24"/>
          <w:highlight w:val="none"/>
        </w:rPr>
        <w:t>初步评审</w:t>
      </w:r>
    </w:p>
    <w:tbl>
      <w:tblPr>
        <w:tblStyle w:val="6"/>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7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215" w:type="dxa"/>
            <w:vAlign w:val="center"/>
          </w:tcPr>
          <w:p>
            <w:pPr>
              <w:spacing w:line="560" w:lineRule="exact"/>
              <w:jc w:val="center"/>
              <w:rPr>
                <w:b/>
                <w:bCs/>
                <w:sz w:val="24"/>
                <w:highlight w:val="none"/>
              </w:rPr>
            </w:pPr>
            <w:r>
              <w:rPr>
                <w:rFonts w:hint="eastAsia"/>
                <w:b/>
                <w:bCs/>
                <w:sz w:val="24"/>
                <w:highlight w:val="none"/>
              </w:rPr>
              <w:t>评审因素</w:t>
            </w:r>
          </w:p>
        </w:tc>
        <w:tc>
          <w:tcPr>
            <w:tcW w:w="7884" w:type="dxa"/>
            <w:vAlign w:val="center"/>
          </w:tcPr>
          <w:p>
            <w:pPr>
              <w:spacing w:line="560" w:lineRule="exact"/>
              <w:jc w:val="center"/>
              <w:rPr>
                <w:b/>
                <w:bCs/>
                <w:sz w:val="24"/>
                <w:highlight w:val="none"/>
              </w:rPr>
            </w:pPr>
            <w:r>
              <w:rPr>
                <w:rFonts w:hint="eastAsia"/>
                <w:b/>
                <w:bCs/>
                <w:sz w:val="24"/>
                <w:highlight w:val="none"/>
              </w:rPr>
              <w:t>初评标准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2215" w:type="dxa"/>
            <w:vAlign w:val="center"/>
          </w:tcPr>
          <w:p>
            <w:pPr>
              <w:spacing w:line="500" w:lineRule="exact"/>
              <w:jc w:val="center"/>
              <w:rPr>
                <w:rFonts w:hint="eastAsia" w:eastAsiaTheme="minorEastAsia"/>
                <w:sz w:val="24"/>
                <w:highlight w:val="none"/>
                <w:lang w:eastAsia="zh-CN"/>
              </w:rPr>
            </w:pPr>
            <w:r>
              <w:rPr>
                <w:rFonts w:hint="eastAsia"/>
                <w:sz w:val="24"/>
                <w:highlight w:val="none"/>
                <w:lang w:eastAsia="zh-CN"/>
              </w:rPr>
              <w:t>资质</w:t>
            </w:r>
          </w:p>
        </w:tc>
        <w:tc>
          <w:tcPr>
            <w:tcW w:w="7884" w:type="dxa"/>
            <w:vAlign w:val="center"/>
          </w:tcPr>
          <w:p>
            <w:pPr>
              <w:numPr>
                <w:ilvl w:val="0"/>
                <w:numId w:val="0"/>
              </w:numPr>
              <w:spacing w:line="500" w:lineRule="exact"/>
              <w:jc w:val="left"/>
              <w:rPr>
                <w:rFonts w:hint="eastAsia"/>
                <w:sz w:val="24"/>
                <w:highlight w:val="none"/>
              </w:rPr>
            </w:pPr>
            <w:r>
              <w:rPr>
                <w:rFonts w:hint="eastAsia"/>
                <w:sz w:val="24"/>
                <w:highlight w:val="none"/>
              </w:rPr>
              <w:t>（1）在中华人民共和国境内依法注册的具有合法经营资格的独立法人；</w:t>
            </w:r>
          </w:p>
          <w:p>
            <w:pPr>
              <w:numPr>
                <w:ilvl w:val="0"/>
                <w:numId w:val="0"/>
              </w:numPr>
              <w:spacing w:line="500" w:lineRule="exact"/>
              <w:jc w:val="left"/>
              <w:rPr>
                <w:sz w:val="24"/>
                <w:highlight w:val="none"/>
              </w:rPr>
            </w:pPr>
            <w:r>
              <w:rPr>
                <w:rFonts w:hint="eastAsia"/>
                <w:sz w:val="24"/>
                <w:highlight w:val="none"/>
              </w:rPr>
              <w:t>（2）具备</w:t>
            </w:r>
            <w:r>
              <w:rPr>
                <w:rFonts w:hint="eastAsia"/>
                <w:sz w:val="24"/>
                <w:highlight w:val="none"/>
                <w:lang w:eastAsia="zh-CN"/>
              </w:rPr>
              <w:t>商品混凝土生产及销售</w:t>
            </w:r>
            <w:r>
              <w:rPr>
                <w:rFonts w:hint="eastAsia"/>
                <w:sz w:val="24"/>
                <w:highlight w:val="none"/>
              </w:rPr>
              <w:t>行业资质；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2215" w:type="dxa"/>
            <w:vAlign w:val="center"/>
          </w:tcPr>
          <w:p>
            <w:pPr>
              <w:spacing w:line="500" w:lineRule="exact"/>
              <w:jc w:val="center"/>
              <w:rPr>
                <w:sz w:val="24"/>
                <w:highlight w:val="none"/>
              </w:rPr>
            </w:pPr>
            <w:r>
              <w:rPr>
                <w:rFonts w:hint="eastAsia"/>
                <w:sz w:val="24"/>
                <w:highlight w:val="none"/>
              </w:rPr>
              <w:t>企业信用</w:t>
            </w:r>
          </w:p>
        </w:tc>
        <w:tc>
          <w:tcPr>
            <w:tcW w:w="7884" w:type="dxa"/>
            <w:vAlign w:val="center"/>
          </w:tcPr>
          <w:p>
            <w:pPr>
              <w:spacing w:line="400" w:lineRule="exact"/>
              <w:rPr>
                <w:rFonts w:ascii="宋体" w:hAnsi="宋体" w:eastAsia="宋体" w:cs="宋体"/>
                <w:sz w:val="24"/>
              </w:rPr>
            </w:pPr>
            <w:r>
              <w:rPr>
                <w:rFonts w:hint="eastAsia" w:ascii="宋体" w:hAnsi="宋体" w:eastAsia="宋体" w:cs="宋体"/>
                <w:sz w:val="24"/>
              </w:rPr>
              <w:t>（1）报名单位在国家企业信用信息公示系统中未被列入严重违法失信企业名单；</w:t>
            </w:r>
          </w:p>
          <w:p>
            <w:pPr>
              <w:spacing w:line="500" w:lineRule="exact"/>
              <w:rPr>
                <w:sz w:val="24"/>
                <w:highlight w:val="none"/>
              </w:rPr>
            </w:pPr>
            <w:r>
              <w:rPr>
                <w:rFonts w:hint="eastAsia" w:ascii="宋体" w:hAnsi="宋体" w:eastAsia="宋体" w:cs="宋体"/>
                <w:sz w:val="24"/>
              </w:rPr>
              <w:t>（2）报名单位在“信用中国”或地方信用网站的信用信息报告中无不良记录；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2215" w:type="dxa"/>
            <w:vAlign w:val="center"/>
          </w:tcPr>
          <w:p>
            <w:pPr>
              <w:spacing w:line="500" w:lineRule="exact"/>
              <w:jc w:val="center"/>
              <w:rPr>
                <w:sz w:val="24"/>
                <w:highlight w:val="none"/>
              </w:rPr>
            </w:pPr>
            <w:r>
              <w:rPr>
                <w:rFonts w:hint="eastAsia" w:ascii="宋体" w:hAnsi="宋体" w:eastAsia="宋体" w:cs="宋体"/>
                <w:sz w:val="24"/>
                <w:highlight w:val="none"/>
              </w:rPr>
              <w:t>材料要求</w:t>
            </w:r>
          </w:p>
        </w:tc>
        <w:tc>
          <w:tcPr>
            <w:tcW w:w="7884" w:type="dxa"/>
            <w:vAlign w:val="center"/>
          </w:tcPr>
          <w:p>
            <w:pPr>
              <w:spacing w:line="500" w:lineRule="exact"/>
              <w:jc w:val="left"/>
              <w:rPr>
                <w:sz w:val="24"/>
                <w:highlight w:val="none"/>
              </w:rPr>
            </w:pPr>
            <w:r>
              <w:rPr>
                <w:sz w:val="24"/>
                <w:highlight w:val="none"/>
              </w:rPr>
              <w:t>粉煤、矿粉掺入总量及指标要求</w:t>
            </w:r>
            <w:r>
              <w:rPr>
                <w:rFonts w:hint="eastAsia"/>
                <w:sz w:val="24"/>
                <w:highlight w:val="none"/>
              </w:rPr>
              <w:t>：</w:t>
            </w:r>
          </w:p>
          <w:p>
            <w:pPr>
              <w:spacing w:line="500" w:lineRule="exact"/>
              <w:jc w:val="left"/>
              <w:rPr>
                <w:rFonts w:hint="eastAsia" w:eastAsiaTheme="minorEastAsia"/>
                <w:sz w:val="24"/>
                <w:highlight w:val="none"/>
                <w:lang w:val="en-US" w:eastAsia="zh-CN"/>
              </w:rPr>
            </w:pPr>
            <w:r>
              <w:rPr>
                <w:rFonts w:hint="eastAsia"/>
                <w:sz w:val="24"/>
                <w:highlight w:val="none"/>
              </w:rPr>
              <w:t>非面层结构</w:t>
            </w:r>
            <w:r>
              <w:rPr>
                <w:rFonts w:hint="eastAsia"/>
                <w:sz w:val="24"/>
                <w:highlight w:val="none"/>
                <w:lang w:val="en-US" w:eastAsia="zh-CN"/>
              </w:rPr>
              <w:t xml:space="preserve">  </w:t>
            </w:r>
            <w:r>
              <w:rPr>
                <w:rFonts w:hint="eastAsia"/>
                <w:sz w:val="24"/>
                <w:highlight w:val="none"/>
              </w:rPr>
              <w:t>Ⅱ</w:t>
            </w:r>
            <w:r>
              <w:rPr>
                <w:rFonts w:hint="eastAsia"/>
                <w:sz w:val="24"/>
                <w:highlight w:val="none"/>
                <w:lang w:eastAsia="zh-CN"/>
              </w:rPr>
              <w:t>级</w:t>
            </w:r>
            <w:r>
              <w:rPr>
                <w:rFonts w:hint="eastAsia"/>
                <w:sz w:val="24"/>
                <w:highlight w:val="none"/>
              </w:rPr>
              <w:t>粉煤灰</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sz w:val="24"/>
                <w:highlight w:val="none"/>
              </w:rPr>
              <w:t>0%</w:t>
            </w:r>
            <w:r>
              <w:rPr>
                <w:rFonts w:hint="eastAsia"/>
                <w:sz w:val="24"/>
                <w:highlight w:val="none"/>
                <w:lang w:eastAsia="zh-CN"/>
              </w:rPr>
              <w:t>，</w:t>
            </w:r>
            <w:r>
              <w:rPr>
                <w:sz w:val="24"/>
                <w:highlight w:val="none"/>
              </w:rPr>
              <w:t>矿粉:S95</w:t>
            </w:r>
            <w:r>
              <w:rPr>
                <w:rFonts w:hint="eastAsia"/>
                <w:sz w:val="24"/>
                <w:highlight w:val="none"/>
              </w:rPr>
              <w:t>。</w:t>
            </w:r>
          </w:p>
          <w:p>
            <w:pPr>
              <w:spacing w:line="500" w:lineRule="exact"/>
              <w:jc w:val="left"/>
              <w:rPr>
                <w:sz w:val="24"/>
                <w:highlight w:val="none"/>
              </w:rPr>
            </w:pPr>
            <w:r>
              <w:rPr>
                <w:sz w:val="24"/>
                <w:highlight w:val="none"/>
              </w:rPr>
              <w:t>面层结构</w:t>
            </w:r>
            <w:r>
              <w:rPr>
                <w:sz w:val="24"/>
                <w:highlight w:val="none"/>
              </w:rPr>
              <w:tab/>
            </w:r>
            <w:r>
              <w:rPr>
                <w:rFonts w:hint="eastAsia"/>
                <w:sz w:val="24"/>
                <w:highlight w:val="none"/>
                <w:lang w:val="en-US" w:eastAsia="zh-CN"/>
              </w:rPr>
              <w:t xml:space="preserve"> </w:t>
            </w:r>
            <w:r>
              <w:rPr>
                <w:rFonts w:hint="eastAsia"/>
                <w:sz w:val="24"/>
                <w:highlight w:val="none"/>
              </w:rPr>
              <w:t>Ⅱ</w:t>
            </w:r>
            <w:r>
              <w:rPr>
                <w:rFonts w:hint="eastAsia"/>
                <w:sz w:val="24"/>
                <w:highlight w:val="none"/>
                <w:lang w:eastAsia="zh-CN"/>
              </w:rPr>
              <w:t>级</w:t>
            </w:r>
            <w:r>
              <w:rPr>
                <w:rFonts w:hint="eastAsia"/>
                <w:sz w:val="24"/>
                <w:highlight w:val="none"/>
              </w:rPr>
              <w:t>粉煤灰</w:t>
            </w:r>
            <w:r>
              <w:rPr>
                <w:sz w:val="24"/>
                <w:highlight w:val="none"/>
              </w:rPr>
              <w:t>＜20%</w:t>
            </w:r>
            <w:r>
              <w:rPr>
                <w:rFonts w:hint="eastAsia"/>
                <w:sz w:val="24"/>
                <w:highlight w:val="none"/>
                <w:lang w:eastAsia="zh-CN"/>
              </w:rPr>
              <w:t>，</w:t>
            </w:r>
            <w:r>
              <w:rPr>
                <w:sz w:val="24"/>
                <w:highlight w:val="none"/>
              </w:rPr>
              <w:t>矿粉:S95</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2215" w:type="dxa"/>
            <w:vAlign w:val="center"/>
          </w:tcPr>
          <w:p>
            <w:pPr>
              <w:spacing w:line="500" w:lineRule="exact"/>
              <w:jc w:val="center"/>
              <w:rPr>
                <w:rFonts w:hint="eastAsia" w:ascii="宋体" w:hAnsi="宋体" w:cs="宋体" w:eastAsiaTheme="minorEastAsia"/>
                <w:sz w:val="24"/>
                <w:highlight w:val="none"/>
                <w:lang w:eastAsia="zh-CN"/>
              </w:rPr>
            </w:pPr>
            <w:r>
              <w:rPr>
                <w:rFonts w:hint="eastAsia"/>
                <w:sz w:val="24"/>
              </w:rPr>
              <w:t>报价</w:t>
            </w:r>
            <w:r>
              <w:rPr>
                <w:rFonts w:hint="eastAsia"/>
                <w:sz w:val="24"/>
                <w:lang w:eastAsia="zh-CN"/>
              </w:rPr>
              <w:t>要求</w:t>
            </w:r>
          </w:p>
        </w:tc>
        <w:tc>
          <w:tcPr>
            <w:tcW w:w="7884" w:type="dxa"/>
            <w:vAlign w:val="center"/>
          </w:tcPr>
          <w:p>
            <w:pPr>
              <w:spacing w:line="500" w:lineRule="exact"/>
              <w:jc w:val="left"/>
              <w:rPr>
                <w:sz w:val="24"/>
                <w:highlight w:val="none"/>
              </w:rPr>
            </w:pPr>
            <w:r>
              <w:rPr>
                <w:rFonts w:hint="eastAsia"/>
                <w:sz w:val="24"/>
              </w:rPr>
              <w:t>不超过对应单价最高限价。</w:t>
            </w:r>
            <w:r>
              <w:rPr>
                <w:rFonts w:hint="eastAsia"/>
                <w:sz w:val="24"/>
                <w:lang w:eastAsia="zh-CN"/>
              </w:rPr>
              <w:t>根据江门市工程造价信息网11月信息价（含税）下浮20%，设置最高限价：水泥砂浆M10为275元/m³，C20为299元/m³、C25为307元/m³、C30为319元/m³、C35为335元/m³、C40为348元/m³、C45为361元/m³。</w:t>
            </w:r>
          </w:p>
        </w:tc>
      </w:tr>
    </w:tbl>
    <w:p>
      <w:pPr>
        <w:numPr>
          <w:ilvl w:val="0"/>
          <w:numId w:val="1"/>
        </w:numPr>
        <w:spacing w:line="560" w:lineRule="exact"/>
        <w:ind w:firstLine="560"/>
        <w:jc w:val="left"/>
        <w:rPr>
          <w:b/>
          <w:bCs/>
          <w:sz w:val="24"/>
          <w:highlight w:val="none"/>
        </w:rPr>
      </w:pPr>
      <w:r>
        <w:rPr>
          <w:rFonts w:hint="eastAsia"/>
          <w:b/>
          <w:bCs/>
          <w:sz w:val="24"/>
          <w:highlight w:val="none"/>
        </w:rPr>
        <w:t>详细评审</w:t>
      </w:r>
    </w:p>
    <w:p>
      <w:pPr>
        <w:spacing w:line="560" w:lineRule="exact"/>
        <w:ind w:left="480"/>
        <w:jc w:val="left"/>
        <w:rPr>
          <w:sz w:val="24"/>
          <w:highlight w:val="none"/>
        </w:rPr>
      </w:pPr>
      <w:r>
        <w:rPr>
          <w:rFonts w:hint="eastAsia"/>
          <w:sz w:val="24"/>
          <w:highlight w:val="none"/>
        </w:rPr>
        <w:t>报价得分计算</w:t>
      </w:r>
    </w:p>
    <w:tbl>
      <w:tblPr>
        <w:tblStyle w:val="5"/>
        <w:tblW w:w="10276" w:type="dxa"/>
        <w:tblInd w:w="93" w:type="dxa"/>
        <w:tblLayout w:type="fixed"/>
        <w:tblCellMar>
          <w:top w:w="0" w:type="dxa"/>
          <w:left w:w="108" w:type="dxa"/>
          <w:bottom w:w="0" w:type="dxa"/>
          <w:right w:w="108" w:type="dxa"/>
        </w:tblCellMar>
      </w:tblPr>
      <w:tblGrid>
        <w:gridCol w:w="448"/>
        <w:gridCol w:w="1312"/>
        <w:gridCol w:w="1733"/>
        <w:gridCol w:w="738"/>
        <w:gridCol w:w="762"/>
        <w:gridCol w:w="702"/>
        <w:gridCol w:w="922"/>
        <w:gridCol w:w="896"/>
        <w:gridCol w:w="2763"/>
      </w:tblGrid>
      <w:tr>
        <w:tblPrEx>
          <w:tblCellMar>
            <w:top w:w="0" w:type="dxa"/>
            <w:left w:w="108" w:type="dxa"/>
            <w:bottom w:w="0" w:type="dxa"/>
            <w:right w:w="108" w:type="dxa"/>
          </w:tblCellMar>
        </w:tblPrEx>
        <w:trPr>
          <w:trHeight w:val="757"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序号</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报价单位</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混凝土品目</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报价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权值</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加权得分</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加权值总得分</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eastAsia="zh-CN" w:bidi="ar"/>
              </w:rPr>
              <w:t>报价得分</w:t>
            </w:r>
          </w:p>
        </w:tc>
        <w:tc>
          <w:tcPr>
            <w:tcW w:w="2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备注</w:t>
            </w:r>
          </w:p>
        </w:tc>
      </w:tr>
      <w:tr>
        <w:tblPrEx>
          <w:tblCellMar>
            <w:top w:w="0" w:type="dxa"/>
            <w:left w:w="108" w:type="dxa"/>
            <w:bottom w:w="0" w:type="dxa"/>
            <w:right w:w="108" w:type="dxa"/>
          </w:tblCellMar>
        </w:tblPrEx>
        <w:trPr>
          <w:trHeight w:val="682" w:hRule="atLeast"/>
        </w:trPr>
        <w:tc>
          <w:tcPr>
            <w:tcW w:w="448"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p>
        </w:tc>
        <w:tc>
          <w:tcPr>
            <w:tcW w:w="1312"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M10水泥砂浆</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0.05</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22"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896"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4"/>
                <w:highlight w:val="none"/>
                <w:lang w:bidi="ar"/>
              </w:rPr>
            </w:pPr>
          </w:p>
        </w:tc>
        <w:tc>
          <w:tcPr>
            <w:tcW w:w="2763"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eastAsia="zh-CN" w:bidi="ar"/>
              </w:rPr>
              <w:t>一、</w:t>
            </w:r>
            <w:r>
              <w:rPr>
                <w:rFonts w:hint="eastAsia" w:ascii="宋体" w:hAnsi="宋体" w:eastAsia="宋体" w:cs="宋体"/>
                <w:color w:val="000000"/>
                <w:kern w:val="0"/>
                <w:sz w:val="24"/>
                <w:highlight w:val="none"/>
                <w:lang w:bidi="ar"/>
              </w:rPr>
              <w:t>加权得分计算公式：</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加权得分＝报价×权值。</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eastAsia="zh-CN" w:bidi="ar"/>
              </w:rPr>
              <w:t>二</w:t>
            </w:r>
            <w:r>
              <w:rPr>
                <w:rFonts w:hint="eastAsia" w:ascii="宋体" w:hAnsi="宋体" w:eastAsia="宋体" w:cs="宋体"/>
                <w:color w:val="000000"/>
                <w:kern w:val="0"/>
                <w:sz w:val="24"/>
                <w:highlight w:val="none"/>
                <w:lang w:bidi="ar"/>
              </w:rPr>
              <w:t>、报价得分=（加权值总得分</w:t>
            </w:r>
            <w:r>
              <w:rPr>
                <w:rFonts w:hint="eastAsia" w:ascii="宋体" w:hAnsi="宋体" w:eastAsia="宋体" w:cs="宋体"/>
                <w:color w:val="000000"/>
                <w:kern w:val="0"/>
                <w:sz w:val="24"/>
                <w:highlight w:val="none"/>
                <w:lang w:eastAsia="zh-CN" w:bidi="ar"/>
              </w:rPr>
              <w:t>最低的单位</w:t>
            </w:r>
            <w:r>
              <w:rPr>
                <w:rFonts w:hint="eastAsia" w:ascii="宋体" w:hAnsi="宋体" w:eastAsia="宋体" w:cs="宋体"/>
                <w:color w:val="000000"/>
                <w:kern w:val="0"/>
                <w:sz w:val="24"/>
                <w:highlight w:val="none"/>
                <w:lang w:bidi="ar"/>
              </w:rPr>
              <w:t>÷加权值总得分）*100</w:t>
            </w:r>
          </w:p>
          <w:p>
            <w:pPr>
              <w:widowControl/>
              <w:numPr>
                <w:ilvl w:val="0"/>
                <w:numId w:val="0"/>
              </w:numPr>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得分计算保留到小数点后1位。</w:t>
            </w:r>
          </w:p>
          <w:p>
            <w:pPr>
              <w:widowControl/>
              <w:numPr>
                <w:ilvl w:val="0"/>
                <w:numId w:val="0"/>
              </w:numPr>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eastAsia="zh-CN" w:bidi="ar"/>
              </w:rPr>
              <w:t>三、</w:t>
            </w:r>
            <w:r>
              <w:rPr>
                <w:rFonts w:hint="eastAsia" w:ascii="宋体" w:hAnsi="宋体" w:eastAsia="宋体" w:cs="宋体"/>
                <w:color w:val="000000"/>
                <w:kern w:val="0"/>
                <w:sz w:val="24"/>
                <w:highlight w:val="none"/>
                <w:lang w:bidi="ar"/>
              </w:rPr>
              <w:t>推荐中选顺位办法：</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1.同等条件下，</w:t>
            </w:r>
            <w:r>
              <w:rPr>
                <w:rFonts w:hint="eastAsia" w:ascii="宋体" w:hAnsi="宋体" w:eastAsia="宋体" w:cs="宋体"/>
                <w:color w:val="000000"/>
                <w:kern w:val="0"/>
                <w:sz w:val="24"/>
                <w:highlight w:val="none"/>
                <w:lang w:eastAsia="zh-CN" w:bidi="ar"/>
              </w:rPr>
              <w:t>报价得</w:t>
            </w:r>
            <w:r>
              <w:rPr>
                <w:rFonts w:hint="eastAsia" w:ascii="宋体" w:hAnsi="宋体" w:eastAsia="宋体" w:cs="宋体"/>
                <w:color w:val="000000"/>
                <w:kern w:val="0"/>
                <w:sz w:val="24"/>
                <w:highlight w:val="none"/>
                <w:lang w:bidi="ar"/>
              </w:rPr>
              <w:t>分</w:t>
            </w:r>
            <w:r>
              <w:rPr>
                <w:rFonts w:hint="eastAsia" w:ascii="宋体" w:hAnsi="宋体" w:eastAsia="宋体" w:cs="宋体"/>
                <w:b/>
                <w:bCs/>
                <w:color w:val="000000"/>
                <w:kern w:val="0"/>
                <w:sz w:val="24"/>
                <w:highlight w:val="none"/>
                <w:lang w:bidi="ar"/>
              </w:rPr>
              <w:t>最</w:t>
            </w:r>
            <w:r>
              <w:rPr>
                <w:rFonts w:hint="eastAsia" w:ascii="宋体" w:hAnsi="宋体" w:eastAsia="宋体" w:cs="宋体"/>
                <w:b/>
                <w:bCs/>
                <w:color w:val="000000"/>
                <w:kern w:val="0"/>
                <w:sz w:val="24"/>
                <w:highlight w:val="none"/>
                <w:lang w:eastAsia="zh-CN" w:bidi="ar"/>
              </w:rPr>
              <w:t>高</w:t>
            </w:r>
            <w:r>
              <w:rPr>
                <w:rFonts w:hint="eastAsia" w:ascii="宋体" w:hAnsi="宋体" w:eastAsia="宋体" w:cs="宋体"/>
                <w:color w:val="000000"/>
                <w:kern w:val="0"/>
                <w:sz w:val="24"/>
                <w:highlight w:val="none"/>
                <w:lang w:bidi="ar"/>
              </w:rPr>
              <w:t>者为第一推荐中选单位；</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2.如有两家（或以上）单位加权值总得分相同，则由评选小组商议决定推荐中选单位顺位。</w:t>
            </w:r>
          </w:p>
        </w:tc>
      </w:tr>
      <w:tr>
        <w:tblPrEx>
          <w:tblCellMar>
            <w:top w:w="0" w:type="dxa"/>
            <w:left w:w="108" w:type="dxa"/>
            <w:bottom w:w="0" w:type="dxa"/>
            <w:right w:w="108" w:type="dxa"/>
          </w:tblCellMar>
        </w:tblPrEx>
        <w:trPr>
          <w:trHeight w:val="682" w:hRule="atLeast"/>
        </w:trPr>
        <w:tc>
          <w:tcPr>
            <w:tcW w:w="4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312"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C20(非面层结构）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bidi="ar"/>
              </w:rPr>
              <w:t>0.2</w:t>
            </w:r>
            <w:r>
              <w:rPr>
                <w:rFonts w:hint="eastAsia" w:ascii="宋体" w:hAnsi="宋体" w:eastAsia="宋体" w:cs="宋体"/>
                <w:color w:val="000000"/>
                <w:kern w:val="0"/>
                <w:sz w:val="24"/>
                <w:highlight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22"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896"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4"/>
                <w:highlight w:val="none"/>
                <w:lang w:bidi="ar"/>
              </w:rPr>
            </w:pPr>
          </w:p>
        </w:tc>
        <w:tc>
          <w:tcPr>
            <w:tcW w:w="2763" w:type="dxa"/>
            <w:vMerge w:val="continue"/>
            <w:tcBorders>
              <w:left w:val="single" w:color="000000" w:sz="4" w:space="0"/>
              <w:right w:val="single" w:color="000000" w:sz="4" w:space="0"/>
            </w:tcBorders>
            <w:shd w:val="clear" w:color="auto" w:fill="auto"/>
            <w:vAlign w:val="center"/>
          </w:tcPr>
          <w:p>
            <w:pPr>
              <w:widowControl/>
              <w:numPr>
                <w:ilvl w:val="0"/>
                <w:numId w:val="0"/>
              </w:numPr>
              <w:jc w:val="left"/>
              <w:textAlignment w:val="center"/>
              <w:rPr>
                <w:rFonts w:ascii="宋体" w:hAnsi="宋体" w:eastAsia="宋体" w:cs="宋体"/>
                <w:color w:val="000000"/>
                <w:sz w:val="24"/>
                <w:highlight w:val="none"/>
              </w:rPr>
            </w:pPr>
          </w:p>
        </w:tc>
      </w:tr>
      <w:tr>
        <w:tblPrEx>
          <w:tblCellMar>
            <w:top w:w="0" w:type="dxa"/>
            <w:left w:w="108" w:type="dxa"/>
            <w:bottom w:w="0" w:type="dxa"/>
            <w:right w:w="108" w:type="dxa"/>
          </w:tblCellMar>
        </w:tblPrEx>
        <w:trPr>
          <w:trHeight w:val="682" w:hRule="atLeast"/>
        </w:trPr>
        <w:tc>
          <w:tcPr>
            <w:tcW w:w="4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312"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C25(非面层结构）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0.05</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22"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896"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c>
          <w:tcPr>
            <w:tcW w:w="2763"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r>
      <w:tr>
        <w:tblPrEx>
          <w:tblCellMar>
            <w:top w:w="0" w:type="dxa"/>
            <w:left w:w="108" w:type="dxa"/>
            <w:bottom w:w="0" w:type="dxa"/>
            <w:right w:w="108" w:type="dxa"/>
          </w:tblCellMar>
        </w:tblPrEx>
        <w:trPr>
          <w:trHeight w:val="682" w:hRule="atLeast"/>
        </w:trPr>
        <w:tc>
          <w:tcPr>
            <w:tcW w:w="4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312"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C30(非面层结构）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0.12</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22"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896"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c>
          <w:tcPr>
            <w:tcW w:w="2763"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r>
      <w:tr>
        <w:tblPrEx>
          <w:tblCellMar>
            <w:top w:w="0" w:type="dxa"/>
            <w:left w:w="108" w:type="dxa"/>
            <w:bottom w:w="0" w:type="dxa"/>
            <w:right w:w="108" w:type="dxa"/>
          </w:tblCellMar>
        </w:tblPrEx>
        <w:trPr>
          <w:trHeight w:val="682" w:hRule="atLeast"/>
        </w:trPr>
        <w:tc>
          <w:tcPr>
            <w:tcW w:w="4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312"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C35（</w:t>
            </w:r>
            <w:r>
              <w:rPr>
                <w:rFonts w:hint="eastAsia" w:ascii="宋体" w:hAnsi="宋体" w:eastAsia="宋体" w:cs="宋体"/>
                <w:color w:val="000000"/>
                <w:kern w:val="0"/>
                <w:szCs w:val="21"/>
                <w:highlight w:val="none"/>
                <w:lang w:eastAsia="zh-CN" w:bidi="ar"/>
              </w:rPr>
              <w:t>非</w:t>
            </w:r>
            <w:r>
              <w:rPr>
                <w:rFonts w:hint="eastAsia" w:ascii="宋体" w:hAnsi="宋体" w:eastAsia="宋体" w:cs="宋体"/>
                <w:color w:val="000000"/>
                <w:kern w:val="0"/>
                <w:szCs w:val="21"/>
                <w:highlight w:val="none"/>
                <w:lang w:bidi="ar"/>
              </w:rPr>
              <w:t>面层结构）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0.05</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22"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896"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c>
          <w:tcPr>
            <w:tcW w:w="2763"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r>
      <w:tr>
        <w:tblPrEx>
          <w:tblCellMar>
            <w:top w:w="0" w:type="dxa"/>
            <w:left w:w="108" w:type="dxa"/>
            <w:bottom w:w="0" w:type="dxa"/>
            <w:right w:w="108" w:type="dxa"/>
          </w:tblCellMar>
        </w:tblPrEx>
        <w:trPr>
          <w:trHeight w:val="682" w:hRule="atLeast"/>
        </w:trPr>
        <w:tc>
          <w:tcPr>
            <w:tcW w:w="4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312"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C35（面层结构）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0.05</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22"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896"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c>
          <w:tcPr>
            <w:tcW w:w="2763"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r>
      <w:tr>
        <w:tblPrEx>
          <w:tblCellMar>
            <w:top w:w="0" w:type="dxa"/>
            <w:left w:w="108" w:type="dxa"/>
            <w:bottom w:w="0" w:type="dxa"/>
            <w:right w:w="108" w:type="dxa"/>
          </w:tblCellMar>
        </w:tblPrEx>
        <w:trPr>
          <w:trHeight w:val="682" w:hRule="atLeast"/>
        </w:trPr>
        <w:tc>
          <w:tcPr>
            <w:tcW w:w="4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312"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C40（面层结构）</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0.4</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22" w:type="dxa"/>
            <w:vMerge w:val="continue"/>
            <w:tcBorders>
              <w:left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896"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c>
          <w:tcPr>
            <w:tcW w:w="2763"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r>
      <w:tr>
        <w:tblPrEx>
          <w:tblCellMar>
            <w:top w:w="0" w:type="dxa"/>
            <w:left w:w="108" w:type="dxa"/>
            <w:bottom w:w="0" w:type="dxa"/>
            <w:right w:w="108" w:type="dxa"/>
          </w:tblCellMar>
        </w:tblPrEx>
        <w:trPr>
          <w:trHeight w:val="747" w:hRule="atLeast"/>
        </w:trPr>
        <w:tc>
          <w:tcPr>
            <w:tcW w:w="448"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p>
        </w:tc>
        <w:tc>
          <w:tcPr>
            <w:tcW w:w="1312"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kern w:val="0"/>
                <w:szCs w:val="21"/>
                <w:highlight w:val="none"/>
                <w:lang w:bidi="ar"/>
              </w:rPr>
              <w:t>C45（面层结构）</w:t>
            </w:r>
            <w:r>
              <w:rPr>
                <w:rFonts w:hint="eastAsia" w:ascii="宋体" w:hAnsi="宋体" w:eastAsia="宋体" w:cs="宋体"/>
                <w:color w:val="000000"/>
                <w:kern w:val="0"/>
                <w:szCs w:val="21"/>
                <w:highlight w:val="none"/>
                <w:lang w:eastAsia="zh-CN" w:bidi="ar"/>
              </w:rPr>
              <w:t>抗折</w:t>
            </w:r>
            <w:r>
              <w:rPr>
                <w:rFonts w:hint="eastAsia" w:ascii="宋体" w:hAnsi="宋体" w:eastAsia="宋体" w:cs="宋体"/>
                <w:color w:val="000000"/>
                <w:kern w:val="0"/>
                <w:szCs w:val="21"/>
                <w:highlight w:val="none"/>
                <w:lang w:val="en-US" w:eastAsia="zh-CN" w:bidi="ar"/>
              </w:rPr>
              <w:t>5.0MPa</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0.05</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922"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highlight w:val="none"/>
              </w:rPr>
            </w:pPr>
          </w:p>
        </w:tc>
        <w:tc>
          <w:tcPr>
            <w:tcW w:w="896"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c>
          <w:tcPr>
            <w:tcW w:w="276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highlight w:val="none"/>
              </w:rPr>
            </w:pPr>
          </w:p>
        </w:tc>
      </w:tr>
    </w:tbl>
    <w:p>
      <w:pPr>
        <w:spacing w:line="400" w:lineRule="exact"/>
        <w:jc w:val="left"/>
        <w:rPr>
          <w:rFonts w:ascii="宋体" w:hAnsi="宋体" w:eastAsia="宋体" w:cs="宋体"/>
          <w:sz w:val="24"/>
          <w:highlight w:val="none"/>
        </w:rPr>
      </w:pPr>
    </w:p>
    <w:p>
      <w:pPr>
        <w:spacing w:line="560" w:lineRule="exact"/>
        <w:jc w:val="right"/>
        <w:rPr>
          <w:rFonts w:ascii="宋体" w:hAnsi="宋体" w:eastAsia="宋体" w:cs="宋体"/>
          <w:sz w:val="24"/>
          <w:highlight w:val="none"/>
        </w:rPr>
      </w:pPr>
    </w:p>
    <w:p>
      <w:pPr>
        <w:spacing w:line="560" w:lineRule="exact"/>
        <w:jc w:val="right"/>
        <w:rPr>
          <w:rFonts w:ascii="宋体" w:hAnsi="宋体" w:eastAsia="宋体" w:cs="宋体"/>
          <w:sz w:val="24"/>
          <w:highlight w:val="none"/>
        </w:rPr>
      </w:pPr>
    </w:p>
    <w:p>
      <w:pPr>
        <w:spacing w:line="560" w:lineRule="exact"/>
        <w:jc w:val="right"/>
        <w:rPr>
          <w:rFonts w:ascii="宋体" w:hAnsi="宋体" w:eastAsia="宋体" w:cs="宋体"/>
          <w:sz w:val="24"/>
          <w:highlight w:val="none"/>
        </w:rPr>
      </w:pPr>
      <w:r>
        <w:rPr>
          <w:rFonts w:hint="eastAsia" w:ascii="宋体" w:hAnsi="宋体" w:eastAsia="宋体" w:cs="宋体"/>
          <w:sz w:val="24"/>
          <w:highlight w:val="none"/>
        </w:rPr>
        <w:t>招标人：江门市新会公路局养护中心</w:t>
      </w:r>
    </w:p>
    <w:p>
      <w:pPr>
        <w:spacing w:line="560" w:lineRule="exact"/>
        <w:jc w:val="center"/>
        <w:rPr>
          <w:rFonts w:ascii="宋体" w:hAnsi="宋体" w:eastAsia="宋体" w:cs="宋体"/>
          <w:color w:val="FF0000"/>
          <w:sz w:val="24"/>
          <w:highlight w:val="none"/>
        </w:rPr>
      </w:pPr>
      <w:r>
        <w:rPr>
          <w:rFonts w:hint="eastAsia" w:ascii="宋体" w:hAnsi="宋体" w:eastAsia="宋体" w:cs="宋体"/>
          <w:sz w:val="24"/>
          <w:highlight w:val="none"/>
        </w:rPr>
        <w:t xml:space="preserve">                                        日  期：202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年1月</w:t>
      </w:r>
      <w:r>
        <w:rPr>
          <w:rFonts w:hint="eastAsia" w:ascii="宋体" w:hAnsi="宋体" w:eastAsia="宋体" w:cs="宋体"/>
          <w:sz w:val="24"/>
          <w:highlight w:val="none"/>
          <w:lang w:val="en-US" w:eastAsia="zh-CN"/>
        </w:rPr>
        <w:t>23</w:t>
      </w:r>
      <w:bookmarkStart w:id="0" w:name="_GoBack"/>
      <w:bookmarkEnd w:id="0"/>
      <w:r>
        <w:rPr>
          <w:rFonts w:hint="eastAsia" w:ascii="宋体" w:hAnsi="宋体" w:eastAsia="宋体" w:cs="宋体"/>
          <w:sz w:val="24"/>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02EAA"/>
    <w:multiLevelType w:val="singleLevel"/>
    <w:tmpl w:val="E0D02E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B7D4A0D"/>
    <w:rsid w:val="00056A68"/>
    <w:rsid w:val="00347F45"/>
    <w:rsid w:val="0039412E"/>
    <w:rsid w:val="004B5441"/>
    <w:rsid w:val="007E7D0F"/>
    <w:rsid w:val="009C223A"/>
    <w:rsid w:val="00A33586"/>
    <w:rsid w:val="00B506CE"/>
    <w:rsid w:val="00B82116"/>
    <w:rsid w:val="00DC5072"/>
    <w:rsid w:val="00DE1A58"/>
    <w:rsid w:val="00ED6C57"/>
    <w:rsid w:val="00FA775F"/>
    <w:rsid w:val="01635C49"/>
    <w:rsid w:val="04830723"/>
    <w:rsid w:val="05B0679A"/>
    <w:rsid w:val="0874152A"/>
    <w:rsid w:val="098849BD"/>
    <w:rsid w:val="0B7D4A0D"/>
    <w:rsid w:val="0C6C6B15"/>
    <w:rsid w:val="113D3447"/>
    <w:rsid w:val="12903B41"/>
    <w:rsid w:val="12A00B7B"/>
    <w:rsid w:val="12C910FC"/>
    <w:rsid w:val="12DB5F87"/>
    <w:rsid w:val="12EA5BD2"/>
    <w:rsid w:val="14883EEC"/>
    <w:rsid w:val="182E2E69"/>
    <w:rsid w:val="18892D35"/>
    <w:rsid w:val="18B573A8"/>
    <w:rsid w:val="1F4D6497"/>
    <w:rsid w:val="1FD70B55"/>
    <w:rsid w:val="2018507C"/>
    <w:rsid w:val="247D957F"/>
    <w:rsid w:val="25FBDF70"/>
    <w:rsid w:val="28524F22"/>
    <w:rsid w:val="28974D43"/>
    <w:rsid w:val="293D309F"/>
    <w:rsid w:val="29820EEF"/>
    <w:rsid w:val="2A052FDD"/>
    <w:rsid w:val="2BDF2325"/>
    <w:rsid w:val="2BFFC151"/>
    <w:rsid w:val="2EFD30F7"/>
    <w:rsid w:val="2FE9188B"/>
    <w:rsid w:val="306443BF"/>
    <w:rsid w:val="31781C5A"/>
    <w:rsid w:val="32C739DA"/>
    <w:rsid w:val="33B75670"/>
    <w:rsid w:val="34DFFFD4"/>
    <w:rsid w:val="367FFE88"/>
    <w:rsid w:val="37FFB1A7"/>
    <w:rsid w:val="38A24CCD"/>
    <w:rsid w:val="38FB4E4D"/>
    <w:rsid w:val="39F7ABB5"/>
    <w:rsid w:val="3AF45588"/>
    <w:rsid w:val="3B546B61"/>
    <w:rsid w:val="3D255BCB"/>
    <w:rsid w:val="3EE74E40"/>
    <w:rsid w:val="3FE61C4A"/>
    <w:rsid w:val="402B1A9F"/>
    <w:rsid w:val="41282F08"/>
    <w:rsid w:val="4715773F"/>
    <w:rsid w:val="47E10C42"/>
    <w:rsid w:val="4A6F69D9"/>
    <w:rsid w:val="4CFF54A1"/>
    <w:rsid w:val="4DBA685E"/>
    <w:rsid w:val="4E1A3BE8"/>
    <w:rsid w:val="4FDB698B"/>
    <w:rsid w:val="4FEE6915"/>
    <w:rsid w:val="527C7665"/>
    <w:rsid w:val="52904CED"/>
    <w:rsid w:val="53074AA3"/>
    <w:rsid w:val="573A4FED"/>
    <w:rsid w:val="584B2674"/>
    <w:rsid w:val="58B7FD5B"/>
    <w:rsid w:val="5BFFC73A"/>
    <w:rsid w:val="5CE03419"/>
    <w:rsid w:val="5E44187C"/>
    <w:rsid w:val="5EE0038C"/>
    <w:rsid w:val="659842EF"/>
    <w:rsid w:val="65AC4B11"/>
    <w:rsid w:val="670E33AA"/>
    <w:rsid w:val="67BB51E4"/>
    <w:rsid w:val="6B054A88"/>
    <w:rsid w:val="6E7F87E2"/>
    <w:rsid w:val="6EBFECBF"/>
    <w:rsid w:val="6EC34B5F"/>
    <w:rsid w:val="6FEF8099"/>
    <w:rsid w:val="6FF6EEFD"/>
    <w:rsid w:val="76434265"/>
    <w:rsid w:val="76EFB3A9"/>
    <w:rsid w:val="76FE9B15"/>
    <w:rsid w:val="772E847F"/>
    <w:rsid w:val="77433A3A"/>
    <w:rsid w:val="77D63E86"/>
    <w:rsid w:val="79F5D7C4"/>
    <w:rsid w:val="7A6B731B"/>
    <w:rsid w:val="7ADB2036"/>
    <w:rsid w:val="7CAD5210"/>
    <w:rsid w:val="7D5D42EC"/>
    <w:rsid w:val="7D723DB3"/>
    <w:rsid w:val="7DEF0708"/>
    <w:rsid w:val="7E353E5F"/>
    <w:rsid w:val="7EDFD655"/>
    <w:rsid w:val="7EF53E53"/>
    <w:rsid w:val="7FCD8F3F"/>
    <w:rsid w:val="7FEB77AC"/>
    <w:rsid w:val="7FF5B108"/>
    <w:rsid w:val="7FFF247C"/>
    <w:rsid w:val="7FFFD8BD"/>
    <w:rsid w:val="AACD76DB"/>
    <w:rsid w:val="AD76DF13"/>
    <w:rsid w:val="AFEF51B4"/>
    <w:rsid w:val="B1EFEAB6"/>
    <w:rsid w:val="BDDD5508"/>
    <w:rsid w:val="BDFF85A0"/>
    <w:rsid w:val="BFCF58D1"/>
    <w:rsid w:val="BFF7F1CF"/>
    <w:rsid w:val="C4F7F25F"/>
    <w:rsid w:val="C9DF04FE"/>
    <w:rsid w:val="CAF6EC4A"/>
    <w:rsid w:val="CF5CE3BA"/>
    <w:rsid w:val="CFF6C37F"/>
    <w:rsid w:val="D2FBB765"/>
    <w:rsid w:val="D3A2BF8A"/>
    <w:rsid w:val="D7556B42"/>
    <w:rsid w:val="D7FF2E81"/>
    <w:rsid w:val="DED581B6"/>
    <w:rsid w:val="DF5DF2EF"/>
    <w:rsid w:val="DF966BAD"/>
    <w:rsid w:val="DFEE3BE2"/>
    <w:rsid w:val="E87B54DD"/>
    <w:rsid w:val="EBCFD8B5"/>
    <w:rsid w:val="ED5F03D6"/>
    <w:rsid w:val="F6DBF3D6"/>
    <w:rsid w:val="F70E1B2F"/>
    <w:rsid w:val="F777C342"/>
    <w:rsid w:val="F77ED974"/>
    <w:rsid w:val="F9FD011D"/>
    <w:rsid w:val="FA6FDB5A"/>
    <w:rsid w:val="FB7C592D"/>
    <w:rsid w:val="FBDF8AD5"/>
    <w:rsid w:val="FDDFA71A"/>
    <w:rsid w:val="FF3F3F48"/>
    <w:rsid w:val="FFB70F1B"/>
    <w:rsid w:val="FFBE74BC"/>
    <w:rsid w:val="FFDDA231"/>
    <w:rsid w:val="FFFD0CE6"/>
    <w:rsid w:val="FFFDB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江门市市公路事务中心</Company>
  <Pages>2</Pages>
  <Words>744</Words>
  <Characters>858</Characters>
  <Lines>6</Lines>
  <Paragraphs>1</Paragraphs>
  <TotalTime>0</TotalTime>
  <ScaleCrop>false</ScaleCrop>
  <LinksUpToDate>false</LinksUpToDate>
  <CharactersWithSpaces>904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2023-07-13T12:11:00Z</dcterms:created>
  <dc:creator>Administrator</dc:creator>
  <cp:lastModifiedBy>WPS_1714102946</cp:lastModifiedBy>
  <cp:lastPrinted>2023-07-21T07:46:00Z</cp:lastPrinted>
  <dcterms:modified xsi:type="dcterms:W3CDTF">2026-01-23T14:41:17Z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AEAFF5D2987788ACAC9870695F68CB83_43</vt:lpwstr>
  </property>
  <property fmtid="{D5CDD505-2E9C-101B-9397-08002B2CF9AE}" pid="4" name="KSOTemplateDocerSaveRecord">
    <vt:lpwstr>eyJoZGlkIjoiMGMwNzZhN2EyNzczOGUwY2MxNDk4NmI1N2Q3YzAzMmEiLCJ1c2VySWQiOiIxNzIwMzQ0MTIzIn0=</vt:lpwstr>
  </property>
</Properties>
</file>