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附件：</w:t>
      </w:r>
    </w:p>
    <w:p>
      <w:pPr>
        <w:spacing w:line="500" w:lineRule="exact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食堂配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highlight w:val="none"/>
          <w:lang w:eastAsia="zh-CN"/>
        </w:rPr>
        <w:t>餐送餐</w:t>
      </w:r>
      <w:r>
        <w:rPr>
          <w:rFonts w:hint="eastAsia" w:ascii="微软雅黑" w:hAnsi="微软雅黑" w:eastAsia="微软雅黑" w:cs="微软雅黑"/>
          <w:sz w:val="36"/>
          <w:szCs w:val="36"/>
        </w:rPr>
        <w:t>服务评分标准</w:t>
      </w:r>
    </w:p>
    <w:p>
      <w:pPr>
        <w:pStyle w:val="2"/>
        <w:rPr>
          <w:rFonts w:hAnsi="宋体" w:cs="宋体"/>
        </w:rPr>
      </w:pP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一、评分选取方式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本次采购【采用自行采购的综合选取】的方式确定中选机构。评分小组先对报名的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进行初步评审；然后对满足初步评审要求的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，按照详细评审规定的评分标准进行打分。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评分小组成员对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的详细</w:t>
      </w:r>
      <w:r>
        <w:rPr>
          <w:rFonts w:hint="eastAsia" w:ascii="宋体" w:hAnsi="宋体" w:eastAsia="宋体" w:cs="宋体"/>
          <w:sz w:val="24"/>
          <w:lang w:val="en-US" w:eastAsia="zh-CN"/>
        </w:rPr>
        <w:t>评审</w:t>
      </w:r>
      <w:r>
        <w:rPr>
          <w:rFonts w:hint="eastAsia" w:ascii="宋体" w:hAnsi="宋体" w:eastAsia="宋体" w:cs="宋体"/>
          <w:sz w:val="24"/>
        </w:rPr>
        <w:t>各评审因素进行评分，计算出各评审因素的算术平均值后合计总和作为该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的得分，并按得分由高到低顺序推荐中选机构。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</w:rPr>
        <w:t>如有两家或以上</w:t>
      </w:r>
      <w:r>
        <w:rPr>
          <w:rFonts w:hint="eastAsia" w:ascii="宋体" w:hAnsi="宋体" w:eastAsia="宋体"/>
          <w:sz w:val="24"/>
          <w:lang w:eastAsia="zh-CN"/>
        </w:rPr>
        <w:t>供应商</w:t>
      </w:r>
      <w:r>
        <w:rPr>
          <w:rFonts w:hint="eastAsia" w:ascii="宋体" w:hAnsi="宋体" w:eastAsia="宋体"/>
          <w:sz w:val="24"/>
        </w:rPr>
        <w:t>的综合得分相同且得分均为最高，</w:t>
      </w:r>
      <w:r>
        <w:rPr>
          <w:rFonts w:hint="eastAsia" w:ascii="宋体" w:hAnsi="宋体" w:eastAsia="宋体" w:cs="宋体"/>
          <w:sz w:val="24"/>
        </w:rPr>
        <w:t>评分小组视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的情况综合比较，投票确定其名次。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二、初步评审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（1）在中华人民共和国境内依法注册的具有合法经营资格的独立法人；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（2）具备相应行业资质；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（3）不属于回避单位。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在国家企业信用信息公示系统中未被列入严重违法失信企业名单；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（2）在“信用中国”网站或地方信用网站的信用信息报告无不良记录。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未提交上述证明材料，则由评选小组核查；如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为事业单位，无法提供国家企业信用信息公示系统截图，则视作通过。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</w:rPr>
              <w:t>金额</w:t>
            </w:r>
            <w:r>
              <w:rPr>
                <w:rFonts w:ascii="宋体" w:hAnsi="宋体" w:eastAsia="宋体" w:cs="宋体"/>
                <w:sz w:val="24"/>
              </w:rPr>
              <w:t>不超过该项采购</w:t>
            </w:r>
            <w:r>
              <w:rPr>
                <w:rFonts w:hint="eastAsia" w:ascii="宋体" w:hAnsi="宋体" w:eastAsia="宋体" w:cs="宋体"/>
                <w:sz w:val="24"/>
              </w:rPr>
              <w:t>最高限价</w:t>
            </w:r>
            <w:r>
              <w:rPr>
                <w:rFonts w:ascii="宋体" w:hAnsi="宋体" w:eastAsia="宋体" w:cs="宋体"/>
                <w:sz w:val="24"/>
              </w:rPr>
              <w:t>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三、详细评审</w:t>
      </w: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2551"/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7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/>
                <w:sz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4"/>
              </w:rPr>
              <w:t>评审因素与评分值</w:t>
            </w:r>
          </w:p>
        </w:tc>
        <w:tc>
          <w:tcPr>
            <w:tcW w:w="538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分值</w:t>
            </w:r>
          </w:p>
        </w:tc>
        <w:tc>
          <w:tcPr>
            <w:tcW w:w="53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项目实施方案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89" w:type="dxa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  <w:lang w:eastAsia="zh-CN"/>
              </w:rPr>
              <w:t>根据对</w:t>
            </w: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本项目食材采购及加工配送服务的各方面方案，如货源、采购渠道、供货保障、品质监控、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4"/>
                <w:szCs w:val="24"/>
              </w:rPr>
              <w:t>日常管理组织、物流配送方案、食品安全追溯方案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餐饮应急预案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4"/>
                <w:szCs w:val="24"/>
              </w:rPr>
              <w:t>及各种规章制度等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4"/>
                <w:szCs w:val="24"/>
                <w:lang w:eastAsia="zh-CN"/>
              </w:rPr>
              <w:t>是否完善、可行，是否符合采购需求等进行综合比较打分，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优：2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&lt; 得分 ≤3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良：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&lt; 得分 ≤2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一般：得分 =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，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企业业绩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5389" w:type="dxa"/>
            <w:vAlign w:val="center"/>
          </w:tcPr>
          <w:p>
            <w:pPr>
              <w:topLinePunct/>
              <w:spacing w:line="288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根据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/>
                <w:sz w:val="24"/>
              </w:rPr>
              <w:t>提供的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同类</w:t>
            </w:r>
            <w:r>
              <w:rPr>
                <w:rFonts w:hint="eastAsia" w:ascii="宋体" w:hAnsi="宋体" w:eastAsia="宋体"/>
                <w:sz w:val="24"/>
              </w:rPr>
              <w:t>项目业绩，综合比较打分，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4"/>
              </w:rPr>
              <w:t xml:space="preserve"> &lt; 得分 ≤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</w:rPr>
              <w:t>&lt; 得分 ≤2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一般：得分 =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拟投入主要人员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53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根据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/>
                <w:sz w:val="24"/>
              </w:rPr>
              <w:t>提供的人员任职资格，综合比较打分，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优：20 &lt; 得分 ≤25，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良：15&lt; 得分 ≤20，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一般：得分 = 15，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报价</w:t>
            </w:r>
          </w:p>
        </w:tc>
        <w:tc>
          <w:tcPr>
            <w:tcW w:w="810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早餐单价（元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/份）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89" w:type="dxa"/>
            <w:vAlign w:val="center"/>
          </w:tcPr>
          <w:p>
            <w:pPr>
              <w:pStyle w:val="2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得分=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*（最高价-报价）/（最高价-最低价）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81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午餐单价（元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/份）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</w:p>
        </w:tc>
        <w:tc>
          <w:tcPr>
            <w:tcW w:w="538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得分=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*（最高价-报价）/（最高价-最低价）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5389" w:type="dxa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sz w:val="24"/>
                <w:lang w:val="zh-CN"/>
              </w:rPr>
            </w:pPr>
          </w:p>
        </w:tc>
      </w:tr>
    </w:tbl>
    <w:p>
      <w:pPr>
        <w:spacing w:line="240" w:lineRule="auto"/>
      </w:pP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5EB"/>
    <w:rsid w:val="00192F0A"/>
    <w:rsid w:val="00281756"/>
    <w:rsid w:val="00282923"/>
    <w:rsid w:val="002E7AB9"/>
    <w:rsid w:val="003567FE"/>
    <w:rsid w:val="00392906"/>
    <w:rsid w:val="005C45EB"/>
    <w:rsid w:val="00933C53"/>
    <w:rsid w:val="00A35E35"/>
    <w:rsid w:val="00AE1C5B"/>
    <w:rsid w:val="00B2411D"/>
    <w:rsid w:val="00DE1538"/>
    <w:rsid w:val="00E827AC"/>
    <w:rsid w:val="00ED7998"/>
    <w:rsid w:val="00FB4451"/>
    <w:rsid w:val="01F67790"/>
    <w:rsid w:val="0EB74F19"/>
    <w:rsid w:val="12391363"/>
    <w:rsid w:val="179E3A27"/>
    <w:rsid w:val="1A853361"/>
    <w:rsid w:val="20DE53A1"/>
    <w:rsid w:val="2CC840A7"/>
    <w:rsid w:val="354512C6"/>
    <w:rsid w:val="3A7E2DA9"/>
    <w:rsid w:val="4F88250B"/>
    <w:rsid w:val="524E4064"/>
    <w:rsid w:val="61A171C0"/>
    <w:rsid w:val="64A46C42"/>
    <w:rsid w:val="65216831"/>
    <w:rsid w:val="67FEB589"/>
    <w:rsid w:val="68FA59C5"/>
    <w:rsid w:val="69EB10AB"/>
    <w:rsid w:val="6E9047F2"/>
    <w:rsid w:val="721169B3"/>
    <w:rsid w:val="73245F6D"/>
    <w:rsid w:val="780C411B"/>
    <w:rsid w:val="7B10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Courier New" w:eastAsia="宋体"/>
      <w:kern w:val="0"/>
      <w:sz w:val="20"/>
      <w:szCs w:val="20"/>
    </w:rPr>
  </w:style>
  <w:style w:type="character" w:customStyle="1" w:styleId="5">
    <w:name w:val="纯文本 Char"/>
    <w:basedOn w:val="4"/>
    <w:link w:val="2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770</Words>
  <Characters>797</Characters>
  <Lines>6</Lines>
  <Paragraphs>1</Paragraphs>
  <TotalTime>15</TotalTime>
  <ScaleCrop>false</ScaleCrop>
  <LinksUpToDate>false</LinksUpToDate>
  <CharactersWithSpaces>818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2024-04-01T15:03:00Z</dcterms:created>
  <dc:creator>Administrator</dc:creator>
  <cp:lastModifiedBy>喵喵</cp:lastModifiedBy>
  <dcterms:modified xsi:type="dcterms:W3CDTF">2026-04-08T17:01:02Z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9251B416A4FB4525AB0ECCDFF1398F50</vt:lpwstr>
  </property>
</Properties>
</file>