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60" w:lineRule="exact"/>
        <w:jc w:val="center"/>
        <w:rPr>
          <w:rFonts w:hint="eastAsia"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江门市公路事务中心202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b/>
          <w:sz w:val="36"/>
          <w:szCs w:val="36"/>
          <w:lang w:val="en-US" w:eastAsia="zh-CN"/>
        </w:rPr>
        <w:t>-202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7</w:t>
      </w:r>
      <w:r>
        <w:rPr>
          <w:rFonts w:hint="eastAsia" w:ascii="宋体" w:hAnsi="宋体" w:eastAsia="宋体"/>
          <w:b/>
          <w:sz w:val="36"/>
          <w:szCs w:val="36"/>
        </w:rPr>
        <w:t>年公务</w:t>
      </w:r>
      <w:r>
        <w:rPr>
          <w:rFonts w:hint="eastAsia" w:ascii="宋体" w:hAnsi="宋体" w:eastAsia="宋体"/>
          <w:b/>
          <w:sz w:val="36"/>
          <w:szCs w:val="36"/>
          <w:lang w:eastAsia="zh-CN"/>
        </w:rPr>
        <w:t>出行</w:t>
      </w:r>
      <w:r>
        <w:rPr>
          <w:rFonts w:hint="eastAsia" w:ascii="宋体" w:hAnsi="宋体" w:eastAsia="宋体"/>
          <w:b/>
          <w:sz w:val="36"/>
          <w:szCs w:val="36"/>
        </w:rPr>
        <w:t>服务采购项目综合评分标准</w:t>
      </w:r>
    </w:p>
    <w:p>
      <w:pPr>
        <w:widowControl/>
        <w:shd w:val="clear" w:color="auto" w:fill="FFFFFF"/>
        <w:spacing w:line="560" w:lineRule="exact"/>
        <w:jc w:val="center"/>
        <w:rPr>
          <w:rFonts w:hint="eastAsia" w:ascii="宋体" w:hAnsi="宋体" w:eastAsia="宋体"/>
          <w:b/>
          <w:sz w:val="36"/>
          <w:szCs w:val="36"/>
        </w:rPr>
      </w:pPr>
    </w:p>
    <w:p>
      <w:pPr>
        <w:adjustRightInd w:val="0"/>
        <w:spacing w:line="360" w:lineRule="auto"/>
        <w:ind w:firstLine="600" w:firstLineChars="200"/>
        <w:jc w:val="left"/>
        <w:textAlignment w:val="baseline"/>
        <w:rPr>
          <w:rFonts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本次采购采用综合选取的方式确定中选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单位</w:t>
      </w:r>
      <w:r>
        <w:rPr>
          <w:rFonts w:hint="eastAsia" w:ascii="仿宋_GB2312" w:hAnsi="宋体" w:eastAsia="仿宋_GB2312" w:cs="宋体"/>
          <w:sz w:val="30"/>
          <w:szCs w:val="30"/>
        </w:rPr>
        <w:t>。评分小组先对报名的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供应商资格</w:t>
      </w:r>
      <w:r>
        <w:rPr>
          <w:rFonts w:hint="eastAsia" w:ascii="仿宋_GB2312" w:hAnsi="宋体" w:eastAsia="仿宋_GB2312" w:cs="宋体"/>
          <w:sz w:val="30"/>
          <w:szCs w:val="30"/>
        </w:rPr>
        <w:t>进行初步评审；然后对满足初步评审要求的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供应商</w:t>
      </w:r>
      <w:r>
        <w:rPr>
          <w:rFonts w:hint="eastAsia" w:ascii="仿宋_GB2312" w:hAnsi="宋体" w:eastAsia="仿宋_GB2312" w:cs="宋体"/>
          <w:sz w:val="30"/>
          <w:szCs w:val="30"/>
        </w:rPr>
        <w:t>，按照详细评审规定的评分标准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，对其报送方案</w:t>
      </w:r>
      <w:r>
        <w:rPr>
          <w:rFonts w:hint="eastAsia" w:ascii="仿宋_GB2312" w:hAnsi="宋体" w:eastAsia="仿宋_GB2312" w:cs="宋体"/>
          <w:sz w:val="30"/>
          <w:szCs w:val="30"/>
        </w:rPr>
        <w:t>进行打分。</w:t>
      </w:r>
    </w:p>
    <w:p>
      <w:pPr>
        <w:adjustRightInd w:val="0"/>
        <w:spacing w:line="360" w:lineRule="auto"/>
        <w:ind w:firstLine="600" w:firstLineChars="200"/>
        <w:jc w:val="left"/>
        <w:textAlignment w:val="baseline"/>
        <w:rPr>
          <w:rFonts w:ascii="仿宋_GB2312" w:hAnsi="宋体" w:eastAsia="仿宋_GB2312" w:cs="宋体"/>
          <w:sz w:val="30"/>
          <w:szCs w:val="30"/>
        </w:rPr>
      </w:pPr>
      <w:r>
        <w:rPr>
          <w:rFonts w:hint="eastAsia" w:ascii="仿宋_GB2312" w:hAnsi="宋体" w:eastAsia="仿宋_GB2312" w:cs="宋体"/>
          <w:sz w:val="30"/>
          <w:szCs w:val="30"/>
        </w:rPr>
        <w:t>评分小组成员对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报名供应商提供的方案</w:t>
      </w:r>
      <w:r>
        <w:rPr>
          <w:rFonts w:hint="eastAsia" w:ascii="仿宋_GB2312" w:hAnsi="宋体" w:eastAsia="仿宋_GB2312" w:cs="宋体"/>
          <w:sz w:val="30"/>
          <w:szCs w:val="30"/>
        </w:rPr>
        <w:t>的详细评审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，对</w:t>
      </w:r>
      <w:r>
        <w:rPr>
          <w:rFonts w:hint="eastAsia" w:ascii="仿宋_GB2312" w:hAnsi="宋体" w:eastAsia="仿宋_GB2312" w:cs="宋体"/>
          <w:sz w:val="30"/>
          <w:szCs w:val="30"/>
        </w:rPr>
        <w:t>各评审因素进行评分，计算出各评审因素的算术平均值后合计总和作为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报名供应商</w:t>
      </w:r>
      <w:r>
        <w:rPr>
          <w:rFonts w:hint="eastAsia" w:ascii="仿宋_GB2312" w:hAnsi="宋体" w:eastAsia="仿宋_GB2312" w:cs="宋体"/>
          <w:sz w:val="30"/>
          <w:szCs w:val="30"/>
        </w:rPr>
        <w:t>的得分，并按得分由高到低顺序推荐中选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单位</w:t>
      </w:r>
      <w:r>
        <w:rPr>
          <w:rFonts w:hint="eastAsia" w:ascii="仿宋_GB2312" w:hAnsi="宋体" w:eastAsia="仿宋_GB2312" w:cs="宋体"/>
          <w:sz w:val="30"/>
          <w:szCs w:val="30"/>
        </w:rPr>
        <w:t>。</w:t>
      </w:r>
    </w:p>
    <w:p>
      <w:pPr>
        <w:adjustRightInd w:val="0"/>
        <w:spacing w:line="360" w:lineRule="auto"/>
        <w:ind w:firstLine="600" w:firstLineChars="200"/>
        <w:jc w:val="left"/>
        <w:textAlignment w:val="baseline"/>
        <w:rPr>
          <w:rFonts w:hint="eastAsia" w:ascii="仿宋_GB2312" w:hAnsi="宋体" w:eastAsia="仿宋_GB2312" w:cs="宋体"/>
          <w:sz w:val="30"/>
          <w:szCs w:val="30"/>
        </w:rPr>
      </w:pPr>
      <w:r>
        <w:rPr>
          <w:rFonts w:hint="eastAsia" w:ascii="仿宋_GB2312" w:hAnsi="华文仿宋" w:eastAsia="仿宋_GB2312"/>
          <w:sz w:val="30"/>
          <w:szCs w:val="30"/>
        </w:rPr>
        <w:t>如有两家或以上</w:t>
      </w:r>
      <w:r>
        <w:rPr>
          <w:rFonts w:hint="eastAsia" w:ascii="仿宋_GB2312" w:hAnsi="华文仿宋" w:eastAsia="仿宋_GB2312"/>
          <w:sz w:val="30"/>
          <w:szCs w:val="30"/>
          <w:lang w:eastAsia="zh-CN"/>
        </w:rPr>
        <w:t>报名供应商</w:t>
      </w:r>
      <w:r>
        <w:rPr>
          <w:rFonts w:hint="eastAsia" w:ascii="仿宋_GB2312" w:hAnsi="华文仿宋" w:eastAsia="仿宋_GB2312"/>
          <w:sz w:val="30"/>
          <w:szCs w:val="30"/>
        </w:rPr>
        <w:t>的综合得分相同且得分均为最高，</w:t>
      </w:r>
      <w:r>
        <w:rPr>
          <w:rFonts w:hint="eastAsia" w:ascii="仿宋_GB2312" w:hAnsi="宋体" w:eastAsia="仿宋_GB2312" w:cs="宋体"/>
          <w:sz w:val="30"/>
          <w:szCs w:val="30"/>
        </w:rPr>
        <w:t>评分小组视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报名供应商</w:t>
      </w:r>
      <w:r>
        <w:rPr>
          <w:rFonts w:hint="eastAsia" w:ascii="仿宋_GB2312" w:hAnsi="宋体" w:eastAsia="仿宋_GB2312" w:cs="宋体"/>
          <w:sz w:val="30"/>
          <w:szCs w:val="30"/>
        </w:rPr>
        <w:t>的情况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，</w:t>
      </w:r>
      <w:r>
        <w:rPr>
          <w:rFonts w:hint="eastAsia" w:ascii="仿宋_GB2312" w:hAnsi="宋体" w:eastAsia="仿宋_GB2312" w:cs="宋体"/>
          <w:sz w:val="30"/>
          <w:szCs w:val="30"/>
        </w:rPr>
        <w:t>综合比较</w:t>
      </w:r>
      <w:r>
        <w:rPr>
          <w:rFonts w:hint="eastAsia" w:ascii="仿宋_GB2312" w:hAnsi="宋体" w:eastAsia="仿宋_GB2312" w:cs="宋体"/>
          <w:sz w:val="30"/>
          <w:szCs w:val="30"/>
          <w:lang w:eastAsia="zh-CN"/>
        </w:rPr>
        <w:t>核心条款得分</w:t>
      </w:r>
      <w:r>
        <w:rPr>
          <w:rFonts w:hint="eastAsia" w:ascii="仿宋_GB2312" w:hAnsi="宋体" w:eastAsia="仿宋_GB2312" w:cs="宋体"/>
          <w:sz w:val="30"/>
          <w:szCs w:val="30"/>
        </w:rPr>
        <w:t>，投票确定其名次。</w:t>
      </w:r>
    </w:p>
    <w:p>
      <w:pPr>
        <w:pStyle w:val="5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adjustRightInd w:val="0"/>
        <w:spacing w:line="315" w:lineRule="atLeast"/>
        <w:ind w:firstLine="540" w:firstLineChars="200"/>
        <w:jc w:val="both"/>
        <w:textAlignment w:val="baseline"/>
        <w:rPr>
          <w:rStyle w:val="8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  <w:lang w:eastAsia="zh-CN"/>
        </w:rPr>
      </w:pPr>
      <w:r>
        <w:rPr>
          <w:rStyle w:val="8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  <w:lang w:eastAsia="zh-CN"/>
        </w:rPr>
        <w:t>本项目采购标的包括</w:t>
      </w:r>
      <w:r>
        <w:rPr>
          <w:rStyle w:val="8"/>
          <w:rFonts w:hint="default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</w:rPr>
        <w:t>包车客运</w:t>
      </w:r>
      <w:r>
        <w:rPr>
          <w:rStyle w:val="8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  <w:lang w:eastAsia="zh-CN"/>
        </w:rPr>
        <w:t>、</w:t>
      </w:r>
      <w:r>
        <w:rPr>
          <w:rStyle w:val="8"/>
          <w:rFonts w:hint="default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</w:rPr>
        <w:t>小微型客车租赁</w:t>
      </w:r>
      <w:r>
        <w:rPr>
          <w:rStyle w:val="8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  <w:lang w:eastAsia="zh-CN"/>
        </w:rPr>
        <w:t>等出行服务。本项服务采购面向中小企业，投标人可单独投标，也可采用</w:t>
      </w:r>
      <w:r>
        <w:rPr>
          <w:rStyle w:val="8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  <w:lang w:val="en-US" w:eastAsia="zh-CN"/>
        </w:rPr>
        <w:t>2名投标人组成联合体投标</w:t>
      </w:r>
      <w:r>
        <w:rPr>
          <w:rStyle w:val="8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  <w:lang w:eastAsia="zh-CN"/>
        </w:rPr>
        <w:t>。</w:t>
      </w:r>
    </w:p>
    <w:p>
      <w:pPr>
        <w:pStyle w:val="5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adjustRightInd w:val="0"/>
        <w:spacing w:line="315" w:lineRule="atLeast"/>
        <w:ind w:firstLine="540" w:firstLineChars="200"/>
        <w:jc w:val="both"/>
        <w:textAlignment w:val="baseline"/>
        <w:rPr>
          <w:rStyle w:val="8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  <w:lang w:eastAsia="zh-CN"/>
        </w:rPr>
      </w:pPr>
    </w:p>
    <w:p>
      <w:pPr>
        <w:pStyle w:val="5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adjustRightInd w:val="0"/>
        <w:spacing w:line="315" w:lineRule="atLeast"/>
        <w:ind w:firstLine="540" w:firstLineChars="200"/>
        <w:jc w:val="both"/>
        <w:textAlignment w:val="baseline"/>
        <w:rPr>
          <w:rStyle w:val="8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  <w:lang w:eastAsia="zh-CN"/>
        </w:rPr>
      </w:pPr>
    </w:p>
    <w:p>
      <w:pPr>
        <w:pStyle w:val="5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adjustRightInd w:val="0"/>
        <w:spacing w:line="315" w:lineRule="atLeast"/>
        <w:ind w:firstLine="540" w:firstLineChars="200"/>
        <w:jc w:val="both"/>
        <w:textAlignment w:val="baseline"/>
        <w:rPr>
          <w:rStyle w:val="8"/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  <w:shd w:val="clear" w:color="auto" w:fill="FFFFFF"/>
          <w:lang w:eastAsia="zh-CN"/>
        </w:rPr>
      </w:pPr>
    </w:p>
    <w:p>
      <w:pPr>
        <w:pStyle w:val="5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line="315" w:lineRule="atLeast"/>
        <w:ind w:left="34" w:leftChars="16" w:firstLine="662"/>
        <w:jc w:val="both"/>
        <w:rPr>
          <w:rFonts w:ascii="方正小标宋简体" w:eastAsia="方正小标宋简体"/>
          <w:sz w:val="36"/>
          <w:szCs w:val="36"/>
        </w:rPr>
      </w:pPr>
    </w:p>
    <w:tbl>
      <w:tblPr>
        <w:tblStyle w:val="6"/>
        <w:tblW w:w="8586" w:type="dxa"/>
        <w:jc w:val="center"/>
        <w:tblLayout w:type="autofit"/>
        <w:tblCellMar>
          <w:top w:w="0" w:type="dxa"/>
          <w:left w:w="108" w:type="dxa"/>
          <w:bottom w:w="67" w:type="dxa"/>
          <w:right w:w="0" w:type="dxa"/>
        </w:tblCellMar>
      </w:tblPr>
      <w:tblGrid>
        <w:gridCol w:w="655"/>
        <w:gridCol w:w="1797"/>
        <w:gridCol w:w="6134"/>
      </w:tblGrid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667" w:hRule="atLeast"/>
          <w:tblHeader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ind w:right="109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序号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ind w:right="109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评</w:t>
            </w:r>
            <w:r>
              <w:rPr>
                <w:rFonts w:hint="eastAsia"/>
                <w:b/>
                <w:color w:val="000000"/>
                <w:sz w:val="24"/>
              </w:rPr>
              <w:t>审因素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ind w:right="107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评</w:t>
            </w:r>
            <w:r>
              <w:rPr>
                <w:rFonts w:hint="eastAsia"/>
                <w:b/>
                <w:color w:val="000000"/>
                <w:sz w:val="24"/>
              </w:rPr>
              <w:t>审</w:t>
            </w:r>
            <w:r>
              <w:rPr>
                <w:b/>
                <w:color w:val="000000"/>
                <w:sz w:val="24"/>
              </w:rPr>
              <w:t>标准</w:t>
            </w:r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3755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  <w:t>1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资格性审查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1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不具备采购公告中规定资格要求的；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2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不同参与服务商的项目管理员或联系人是同一人的；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3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近三年列入失信被执行人名单、重大税收违法案件当事人名单、政府采购严重违法失信行为记录名单，曾受到政府采购行政处罚的；以“信用中国”网站信用信息栏、中国政府采购网无以上不良记录的查询截图为准。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存在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以上任何条款中的一款，为无效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投标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，不参与综合评分。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4122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2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服务商资质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exact"/>
              <w:ind w:right="108" w:firstLine="470" w:firstLineChars="196"/>
              <w:jc w:val="left"/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Style w:val="7"/>
                <w:rFonts w:hint="eastAsia" w:ascii="仿宋_GB2312" w:hAnsi="Helvetica" w:eastAsia="仿宋_GB2312" w:cs="Helvetic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包车客运企业</w:t>
            </w:r>
            <w:r>
              <w:rPr>
                <w:rFonts w:hint="eastAsia" w:ascii="仿宋_GB2312" w:hAnsi="Helvetica" w:eastAsia="仿宋_GB2312" w:cs="Helvetic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color="auto" w:fill="auto"/>
                <w:lang w:val="en-US" w:eastAsia="zh-CN" w:bidi="ar"/>
              </w:rPr>
              <w:t>提供“广东省道路运输管理信息网”查询结果。包车客运企业、车辆及驾驶员需取得交通运输部门发放的《道路运输经营许可证》《道路运输证》及《从业资格证》，具备相应包车客运经营范围，并确保上述证件、查询结果真实有效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exact"/>
              <w:ind w:right="108" w:firstLine="470" w:firstLineChars="196"/>
              <w:jc w:val="left"/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Style w:val="7"/>
                <w:rFonts w:hint="eastAsia" w:ascii="仿宋_GB2312" w:hAnsi="Helvetica" w:eastAsia="仿宋_GB2312" w:cs="Helvetic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color="auto" w:fill="FFFFFF"/>
                <w:lang w:val="en-US" w:eastAsia="zh-CN" w:bidi="ar"/>
              </w:rPr>
              <w:t>小微型客车租赁经营者备案信息</w:t>
            </w:r>
            <w:r>
              <w:rPr>
                <w:rFonts w:hint="eastAsia" w:ascii="仿宋_GB2312" w:hAnsi="Helvetica" w:eastAsia="仿宋_GB2312" w:cs="Helvetic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color="auto" w:fill="auto"/>
                <w:lang w:val="en-US" w:eastAsia="zh-CN" w:bidi="ar"/>
              </w:rPr>
              <w:t>提供“广东省小微型客车租赁备案信息服务系统”查询结果，并确保上述查询结果真实有效。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exact"/>
              <w:ind w:right="108" w:firstLine="470" w:firstLineChars="196"/>
              <w:jc w:val="left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服务商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需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符合上述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要求并提供证明材料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，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不提供或提供不完整的，不得分。</w:t>
            </w:r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1902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3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经营业绩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服务商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2023年以来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承担过机关、事业单位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出行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服务工作。服务商须附业绩合同复印件、中标通知书复印件并加盖公章，不提供相关证明不得分。</w:t>
            </w:r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2727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4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 w:firstLine="470" w:firstLineChars="196"/>
              <w:jc w:val="left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车况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 w:firstLine="470" w:firstLineChars="196"/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1.根据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服务商供本项目使用车辆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的车龄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[6年以内（含6年）]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占比进行评分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。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hint="default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2.车辆年检手续不全，本项不得分。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3.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服务商须附相关证明资料，不提供相关证明不得分。</w:t>
            </w:r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4064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5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车型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 w:firstLine="480" w:firstLineChars="200"/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可供租赁的车辆包含小轿车、商务车、中型普通客车三种车型，且车辆数量不少于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辆。其中小轿车（4－5座）不少于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6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 xml:space="preserve"> 辆、商务车（7座）不少于6辆，9座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-12座客车不少于3辆，40座以上大巴车不少于3辆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。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可供租赁的车辆须为服务商所有，服务商须详细列明可供租赁的车辆信息（包括车辆行驶证复印件及车辆图册）。</w:t>
            </w:r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1628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6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新能源汽车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108" w:rightChars="0" w:firstLine="480" w:firstLineChars="200"/>
              <w:textAlignment w:val="auto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根据服务商提供的可供租赁的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新能源汽车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数量进行评分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。</w:t>
            </w:r>
          </w:p>
          <w:p>
            <w:pPr>
              <w:widowControl/>
              <w:spacing w:line="360" w:lineRule="exact"/>
              <w:ind w:left="470" w:right="108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服务商须附相关证明资料，不提供相关证明不得分。</w:t>
            </w:r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3255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7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车辆保险情况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1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车辆购买全额保险；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2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车辆购买第三者责任保险金额不低于300万（含300万）；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3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.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车辆购买乘客人员意外事故保险金额不低于40万元的；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参与服务商应提供相关保险证明资料，不提供相关证明不得分。</w:t>
            </w:r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2905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8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驾驶人员情况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 w:firstLine="470" w:firstLineChars="196"/>
              <w:jc w:val="left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驾驶人员必须具有驾驶车辆相应的驾照和5年及以上驾驶经历，在3年内未发生严重交通事故证明及无犯罪记录。</w:t>
            </w:r>
          </w:p>
          <w:p>
            <w:pPr>
              <w:widowControl/>
              <w:spacing w:line="360" w:lineRule="exact"/>
              <w:ind w:right="108" w:firstLine="470" w:firstLineChars="196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根据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服务商提供符合上述要求随车驾驶人员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的数量评分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。</w:t>
            </w:r>
          </w:p>
          <w:p>
            <w:pPr>
              <w:widowControl/>
              <w:spacing w:line="360" w:lineRule="exact"/>
              <w:ind w:right="108" w:firstLine="470" w:firstLineChars="196"/>
              <w:jc w:val="left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参与服务商应提供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驾驶员</w:t>
            </w:r>
            <w:r>
              <w:rPr>
                <w:rFonts w:hint="eastAsia" w:ascii="仿宋_GB2312" w:hAnsi="Helvetica" w:eastAsia="仿宋_GB2312" w:cs="Helvetica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color="auto" w:fill="auto"/>
                <w:lang w:val="en-US" w:eastAsia="zh-CN" w:bidi="ar"/>
              </w:rPr>
              <w:t>《从业资格证》等证件，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并加盖公章。</w:t>
            </w:r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2692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9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价格评分</w:t>
            </w:r>
          </w:p>
        </w:tc>
        <w:tc>
          <w:tcPr>
            <w:tcW w:w="6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spacing w:line="360" w:lineRule="exact"/>
              <w:ind w:right="108" w:firstLine="480" w:firstLineChars="200"/>
              <w:jc w:val="left"/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参与的服务商须提供小轿车、商务车、中型普通客车、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40座以上大客车4种车型、车龄6年以内（含6年）的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日租金、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超时、超公里的含税价格（不含驾乘人员劳务费、住宿费，车辆路桥费和停车费等）。</w:t>
            </w:r>
          </w:p>
          <w:p>
            <w:pPr>
              <w:widowControl/>
              <w:numPr>
                <w:ilvl w:val="0"/>
                <w:numId w:val="0"/>
              </w:numPr>
              <w:spacing w:line="360" w:lineRule="exact"/>
              <w:ind w:right="108" w:firstLine="480" w:firstLineChars="200"/>
              <w:jc w:val="left"/>
              <w:rPr>
                <w:rFonts w:hint="default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本项实行竞价，折算得分。</w:t>
            </w:r>
          </w:p>
          <w:p>
            <w:pPr>
              <w:widowControl/>
              <w:spacing w:line="360" w:lineRule="exact"/>
              <w:ind w:right="108"/>
              <w:jc w:val="left"/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</w:pPr>
          </w:p>
          <w:p>
            <w:pPr>
              <w:widowControl/>
              <w:spacing w:line="360" w:lineRule="exact"/>
              <w:ind w:right="108"/>
              <w:jc w:val="left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备注：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1.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eastAsia="zh-CN"/>
              </w:rPr>
              <w:t>日租金基础标准为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  <w:t>8小时200公里计算。2.</w:t>
            </w:r>
            <w:r>
              <w:rPr>
                <w:rFonts w:hint="eastAsia" w:ascii="仿宋_GB2312" w:hAnsi="Helvetica" w:eastAsia="仿宋_GB2312" w:cs="Helvetica"/>
                <w:color w:val="000000"/>
                <w:kern w:val="0"/>
                <w:sz w:val="24"/>
              </w:rPr>
              <w:t>计算过程及结果数字保留两位小数。</w:t>
            </w:r>
          </w:p>
          <w:p>
            <w:pPr>
              <w:widowControl/>
              <w:spacing w:line="360" w:lineRule="exact"/>
              <w:ind w:right="108" w:firstLine="470" w:firstLineChars="196"/>
              <w:rPr>
                <w:rFonts w:ascii="仿宋_GB2312" w:hAnsi="Helvetica" w:eastAsia="仿宋_GB2312" w:cs="Helvetica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67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/>
              <w:jc w:val="center"/>
              <w:rPr>
                <w:rFonts w:ascii="仿宋_GB2312" w:hAnsi="Helvetica" w:eastAsia="仿宋_GB2312" w:cs="Helvetica"/>
                <w:color w:val="000000"/>
                <w:kern w:val="0"/>
                <w:sz w:val="24"/>
                <w:shd w:val="pct10" w:color="auto" w:fill="FFFFFF"/>
              </w:rPr>
            </w:pPr>
          </w:p>
        </w:tc>
        <w:tc>
          <w:tcPr>
            <w:tcW w:w="79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ind w:right="108" w:firstLine="472" w:firstLineChars="196"/>
              <w:jc w:val="center"/>
              <w:rPr>
                <w:rFonts w:hint="default" w:ascii="仿宋_GB2312" w:hAnsi="Helvetica" w:eastAsia="仿宋_GB2312" w:cs="Helvetica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ascii="仿宋_GB2312" w:hAnsi="Helvetica" w:eastAsia="仿宋_GB2312" w:cs="Helvetica"/>
                <w:b/>
                <w:color w:val="000000"/>
                <w:kern w:val="0"/>
                <w:sz w:val="24"/>
              </w:rPr>
              <w:t>合计</w:t>
            </w:r>
            <w:r>
              <w:rPr>
                <w:rFonts w:hint="eastAsia" w:ascii="仿宋_GB2312" w:hAnsi="Helvetica" w:eastAsia="仿宋_GB2312" w:cs="Helvetica"/>
                <w:b/>
                <w:color w:val="000000"/>
                <w:kern w:val="0"/>
                <w:sz w:val="24"/>
                <w:lang w:val="en-US" w:eastAsia="zh-CN"/>
              </w:rPr>
              <w:t>100分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Liberation Sans">
    <w:altName w:val="Arial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SC Regular">
    <w:panose1 w:val="020B0500000000000000"/>
    <w:charset w:val="86"/>
    <w:family w:val="auto"/>
    <w:pitch w:val="default"/>
    <w:sig w:usb0="30000003" w:usb1="2BDF3C10" w:usb2="00000016" w:usb3="00000000" w:csb0="602E0107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"/>
  <w:drawingGridVerticalSpacing w:val="1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compressPunctuation"/>
  <w:doNotValidateAgainstSchema/>
  <w:doNotDemarcateInvalidXml/>
  <w:compat>
    <w:noLeading/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2ED88251"/>
    <w:rsid w:val="3B1A6206"/>
    <w:rsid w:val="3BF43E07"/>
    <w:rsid w:val="5FBB8D33"/>
    <w:rsid w:val="61759D06"/>
    <w:rsid w:val="75E7A8E6"/>
    <w:rsid w:val="776F5F05"/>
    <w:rsid w:val="77BAB43E"/>
    <w:rsid w:val="A69EF6C5"/>
    <w:rsid w:val="DFEFA8A5"/>
    <w:rsid w:val="F9A5472D"/>
    <w:rsid w:val="FFEE3B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widowControl w:val="0"/>
      <w:suppressLineNumbers/>
      <w:suppressAutoHyphen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List"/>
    <w:basedOn w:val="3"/>
    <w:qFormat/>
    <w:uiPriority w:val="0"/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默认段落字体1"/>
    <w:qFormat/>
    <w:uiPriority w:val="0"/>
  </w:style>
  <w:style w:type="paragraph" w:customStyle="1" w:styleId="10">
    <w:name w:val="Heading"/>
    <w:basedOn w:val="1"/>
    <w:next w:val="3"/>
    <w:qFormat/>
    <w:uiPriority w:val="0"/>
    <w:pPr>
      <w:keepNext/>
      <w:widowControl w:val="0"/>
      <w:suppressAutoHyphens/>
      <w:spacing w:before="240" w:after="120"/>
    </w:pPr>
    <w:rPr>
      <w:rFonts w:ascii="Liberation Sans" w:hAnsi="Liberation Sans" w:eastAsia="Noto Sans CJK SC Regular" w:cs="Noto Sans CJK SC Regular"/>
      <w:sz w:val="28"/>
      <w:szCs w:val="28"/>
      <w:lang w:bidi="ar-SA"/>
    </w:rPr>
  </w:style>
  <w:style w:type="paragraph" w:customStyle="1" w:styleId="11">
    <w:name w:val="Index"/>
    <w:basedOn w:val="1"/>
    <w:qFormat/>
    <w:uiPriority w:val="0"/>
    <w:pPr>
      <w:widowControl w:val="0"/>
      <w:suppressLineNumbers/>
      <w:suppressAutoHyphens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2</TotalTime>
  <ScaleCrop>false</ScaleCrop>
  <LinksUpToDate>false</LinksUpToDate>
  <Application>WPS Office_12.8.2.15290_F1E327BC-269C-435d-A152-05C5408002CA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2018-11-29T09:47:00Z</dcterms:created>
  <dc:creator>uos</dc:creator>
  <cp:lastModifiedBy>uos</cp:lastModifiedBy>
  <dcterms:modified xsi:type="dcterms:W3CDTF">2026-07-02T10:01:19Z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2052-12.8.2.15290</vt:lpwstr>
  </property>
  <property fmtid="{D5CDD505-2E9C-101B-9397-08002B2CF9AE}" pid="3" name="ICV">
    <vt:lpwstr>AA576194A9C3497D97003E6AC0B1D997_43</vt:lpwstr>
  </property>
</Properties>
</file>