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cs="宋体"/>
        </w:rPr>
      </w:pPr>
      <w:r>
        <w:rPr>
          <w:rFonts w:hint="eastAsia" w:ascii="宋体" w:hAnsi="宋体" w:cs="宋体"/>
        </w:rPr>
        <w:t>附件2：</w:t>
      </w:r>
    </w:p>
    <w:p>
      <w:pPr>
        <w:spacing w:line="500" w:lineRule="exact"/>
        <w:jc w:val="center"/>
        <w:rPr>
          <w:sz w:val="24"/>
          <w:szCs w:val="24"/>
        </w:rPr>
      </w:pPr>
      <w:r>
        <w:rPr>
          <w:rFonts w:hint="eastAsia" w:ascii="方正小标宋简体" w:hAnsi="方正小标宋简体" w:eastAsia="方正小标宋简体" w:cs="方正小标宋简体"/>
          <w:sz w:val="36"/>
          <w:szCs w:val="36"/>
        </w:rPr>
        <w:t>江门市</w:t>
      </w:r>
      <w:r>
        <w:rPr>
          <w:rFonts w:hint="eastAsia" w:ascii="方正小标宋简体" w:hAnsi="方正小标宋简体" w:eastAsia="方正小标宋简体" w:cs="方正小标宋简体"/>
          <w:sz w:val="36"/>
          <w:szCs w:val="36"/>
          <w:lang w:eastAsia="zh-CN"/>
        </w:rPr>
        <w:t>开</w:t>
      </w:r>
      <w:r>
        <w:rPr>
          <w:rFonts w:hint="eastAsia" w:ascii="方正小标宋简体" w:hAnsi="方正小标宋简体" w:eastAsia="方正小标宋简体" w:cs="方正小标宋简体"/>
          <w:sz w:val="36"/>
          <w:szCs w:val="36"/>
        </w:rPr>
        <w:t>平公路</w:t>
      </w:r>
      <w:r>
        <w:rPr>
          <w:rFonts w:hint="eastAsia" w:ascii="方正小标宋简体" w:hAnsi="方正小标宋简体" w:eastAsia="方正小标宋简体" w:cs="方正小标宋简体"/>
          <w:sz w:val="36"/>
          <w:szCs w:val="36"/>
          <w:lang w:eastAsia="zh-CN"/>
        </w:rPr>
        <w:t>局养护</w:t>
      </w:r>
      <w:r>
        <w:rPr>
          <w:rFonts w:hint="eastAsia" w:ascii="方正小标宋简体" w:hAnsi="方正小标宋简体" w:eastAsia="方正小标宋简体" w:cs="方正小标宋简体"/>
          <w:sz w:val="36"/>
          <w:szCs w:val="36"/>
        </w:rPr>
        <w:t>中心</w:t>
      </w:r>
      <w:r>
        <w:rPr>
          <w:rFonts w:hint="eastAsia" w:ascii="方正小标宋简体" w:hAnsi="方正小标宋简体" w:eastAsia="方正小标宋简体" w:cs="方正小标宋简体"/>
          <w:sz w:val="36"/>
          <w:szCs w:val="36"/>
          <w:lang w:val="en-US" w:eastAsia="zh-CN"/>
        </w:rPr>
        <w:t>2026年-2027年</w:t>
      </w:r>
      <w:r>
        <w:rPr>
          <w:rFonts w:hint="eastAsia" w:ascii="方正小标宋简体" w:hAnsi="方正小标宋简体" w:eastAsia="方正小标宋简体" w:cs="方正小标宋简体"/>
          <w:sz w:val="36"/>
          <w:szCs w:val="36"/>
          <w:lang w:eastAsia="zh-CN"/>
        </w:rPr>
        <w:t>公务用车（机械）</w:t>
      </w:r>
      <w:r>
        <w:rPr>
          <w:rFonts w:hint="eastAsia" w:ascii="方正小标宋简体" w:hAnsi="方正小标宋简体" w:eastAsia="方正小标宋简体" w:cs="方正小标宋简体"/>
          <w:sz w:val="36"/>
          <w:szCs w:val="36"/>
        </w:rPr>
        <w:t>定点加油服务采购评分标准</w:t>
      </w:r>
    </w:p>
    <w:p>
      <w:pPr>
        <w:pStyle w:val="3"/>
        <w:rPr>
          <w:rFonts w:hAnsi="宋体" w:cs="宋体"/>
        </w:rPr>
      </w:pPr>
    </w:p>
    <w:p>
      <w:pPr>
        <w:spacing w:line="360" w:lineRule="auto"/>
        <w:ind w:firstLine="420" w:firstLineChars="200"/>
        <w:rPr>
          <w:rFonts w:hint="eastAsia" w:ascii="黑体" w:hAnsi="黑体" w:eastAsia="黑体" w:cs="黑体"/>
        </w:rPr>
      </w:pPr>
      <w:r>
        <w:rPr>
          <w:rFonts w:hint="eastAsia" w:ascii="黑体" w:hAnsi="黑体" w:eastAsia="黑体" w:cs="黑体"/>
        </w:rPr>
        <w:t>一、评分选取方式</w:t>
      </w:r>
    </w:p>
    <w:p>
      <w:pPr>
        <w:spacing w:line="360" w:lineRule="auto"/>
        <w:ind w:firstLine="420" w:firstLineChars="200"/>
        <w:rPr>
          <w:rFonts w:ascii="宋体" w:hAnsi="宋体" w:cs="宋体"/>
        </w:rPr>
      </w:pPr>
      <w:r>
        <w:rPr>
          <w:rFonts w:hint="eastAsia" w:ascii="宋体" w:hAnsi="宋体" w:cs="宋体"/>
        </w:rPr>
        <w:t>本次采购采用【自行采购的综合选取】的方式确定中选机构。评分小组先对报名的投标方进行初步评审；然后对满足初步评审要求的投标方，按照详细评审规定的评分标准进行打分。</w:t>
      </w:r>
    </w:p>
    <w:p>
      <w:pPr>
        <w:spacing w:line="360" w:lineRule="auto"/>
        <w:ind w:firstLine="420" w:firstLineChars="200"/>
        <w:rPr>
          <w:rFonts w:ascii="宋体" w:hAnsi="宋体" w:cs="宋体"/>
        </w:rPr>
      </w:pPr>
      <w:r>
        <w:rPr>
          <w:rFonts w:hint="eastAsia" w:ascii="宋体" w:hAnsi="宋体" w:cs="宋体"/>
        </w:rPr>
        <w:t>评分小组成员对投标方的详细评审各评审因素进行评分，计算出各评审因素的算术平均值后合计总和作为该投标方的得分，并按得分由高到低顺序推荐中选机构。</w:t>
      </w:r>
    </w:p>
    <w:p>
      <w:pPr>
        <w:spacing w:line="360" w:lineRule="auto"/>
        <w:ind w:firstLine="420" w:firstLineChars="200"/>
        <w:rPr>
          <w:rFonts w:ascii="宋体" w:hAnsi="宋体" w:cs="宋体"/>
        </w:rPr>
      </w:pPr>
      <w:r>
        <w:rPr>
          <w:rFonts w:hint="eastAsia" w:ascii="仿宋_GB2312" w:hAnsi="华文仿宋"/>
          <w:szCs w:val="32"/>
        </w:rPr>
        <w:t>如有两家或以上投标方的综合得分相同且得分均为最高，</w:t>
      </w:r>
      <w:r>
        <w:rPr>
          <w:rFonts w:hint="eastAsia" w:ascii="宋体" w:hAnsi="宋体" w:cs="宋体"/>
        </w:rPr>
        <w:t>评分小组视投标方的情况综合比较，投票确定其名次。</w:t>
      </w:r>
    </w:p>
    <w:p>
      <w:pPr>
        <w:spacing w:line="360" w:lineRule="auto"/>
        <w:ind w:firstLine="420" w:firstLineChars="200"/>
        <w:rPr>
          <w:rFonts w:hint="eastAsia" w:ascii="黑体" w:hAnsi="黑体" w:eastAsia="黑体" w:cs="黑体"/>
        </w:rPr>
      </w:pPr>
      <w:r>
        <w:rPr>
          <w:rFonts w:hint="eastAsia" w:ascii="黑体" w:hAnsi="黑体" w:eastAsia="黑体" w:cs="黑体"/>
        </w:rPr>
        <w:t>二、初步评审</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6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809" w:type="dxa"/>
            <w:shd w:val="clear" w:color="auto" w:fill="auto"/>
            <w:vAlign w:val="center"/>
          </w:tcPr>
          <w:p>
            <w:pPr>
              <w:spacing w:line="360" w:lineRule="auto"/>
              <w:jc w:val="center"/>
              <w:rPr>
                <w:rFonts w:ascii="宋体" w:hAnsi="宋体" w:cs="宋体"/>
                <w:b/>
              </w:rPr>
            </w:pPr>
            <w:r>
              <w:rPr>
                <w:rFonts w:hint="eastAsia" w:ascii="宋体" w:hAnsi="宋体" w:cs="宋体"/>
                <w:b/>
              </w:rPr>
              <w:t>评审因素</w:t>
            </w:r>
          </w:p>
        </w:tc>
        <w:tc>
          <w:tcPr>
            <w:tcW w:w="6713" w:type="dxa"/>
            <w:shd w:val="clear" w:color="auto" w:fill="auto"/>
            <w:vAlign w:val="center"/>
          </w:tcPr>
          <w:p>
            <w:pPr>
              <w:spacing w:line="360" w:lineRule="auto"/>
              <w:jc w:val="center"/>
              <w:rPr>
                <w:rFonts w:ascii="宋体" w:hAnsi="宋体" w:cs="宋体"/>
                <w:b/>
              </w:rPr>
            </w:pPr>
            <w:r>
              <w:rPr>
                <w:rFonts w:hint="eastAsia" w:ascii="宋体" w:hAnsi="宋体" w:cs="宋体"/>
                <w:b/>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809" w:type="dxa"/>
            <w:shd w:val="clear" w:color="auto" w:fill="auto"/>
            <w:vAlign w:val="center"/>
          </w:tcPr>
          <w:p>
            <w:pPr>
              <w:adjustRightInd/>
              <w:spacing w:line="360" w:lineRule="auto"/>
              <w:jc w:val="center"/>
              <w:rPr>
                <w:rFonts w:ascii="宋体" w:hAnsi="宋体" w:cs="宋体"/>
              </w:rPr>
            </w:pPr>
            <w:r>
              <w:rPr>
                <w:rFonts w:hint="eastAsia" w:ascii="宋体" w:hAnsi="宋体" w:cs="宋体"/>
              </w:rPr>
              <w:t>资质</w:t>
            </w:r>
          </w:p>
        </w:tc>
        <w:tc>
          <w:tcPr>
            <w:tcW w:w="6713" w:type="dxa"/>
            <w:shd w:val="clear" w:color="auto" w:fill="auto"/>
            <w:vAlign w:val="center"/>
          </w:tcPr>
          <w:p>
            <w:pPr>
              <w:adjustRightInd/>
              <w:spacing w:line="360" w:lineRule="auto"/>
              <w:ind w:left="105" w:hanging="105" w:hangingChars="50"/>
              <w:jc w:val="both"/>
              <w:textAlignment w:val="auto"/>
              <w:rPr>
                <w:rFonts w:hint="eastAsia" w:ascii="宋体" w:hAnsi="宋体" w:cs="宋体"/>
              </w:rPr>
            </w:pPr>
            <w:r>
              <w:rPr>
                <w:rFonts w:hint="eastAsia" w:ascii="宋体" w:hAnsi="宋体" w:cs="宋体"/>
              </w:rPr>
              <w:t>（1）在中华人民共和国境内依法注册、具有合法经营资格的独立法人，持有有效营业执照；</w:t>
            </w:r>
          </w:p>
          <w:p>
            <w:pPr>
              <w:adjustRightInd/>
              <w:spacing w:line="360" w:lineRule="auto"/>
              <w:ind w:left="105" w:hanging="105" w:hangingChars="50"/>
              <w:jc w:val="both"/>
              <w:textAlignment w:val="auto"/>
              <w:rPr>
                <w:rFonts w:hint="eastAsia" w:ascii="宋体" w:hAnsi="宋体" w:cs="宋体"/>
              </w:rPr>
            </w:pPr>
            <w:r>
              <w:rPr>
                <w:rFonts w:hint="eastAsia" w:ascii="宋体" w:hAnsi="宋体" w:cs="宋体"/>
              </w:rPr>
              <w:t>（2）持有有效的成品油零售经营批准证书；</w:t>
            </w:r>
          </w:p>
          <w:p>
            <w:pPr>
              <w:adjustRightInd/>
              <w:spacing w:line="360" w:lineRule="auto"/>
              <w:ind w:left="105" w:hanging="105" w:hangingChars="50"/>
              <w:jc w:val="both"/>
              <w:textAlignment w:val="auto"/>
            </w:pPr>
            <w:r>
              <w:rPr>
                <w:rFonts w:hint="eastAsia" w:ascii="宋体" w:hAnsi="宋体" w:cs="宋体"/>
              </w:rPr>
              <w:t>（3）持有有效的危险化学品经营许可证。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trPr>
        <w:tc>
          <w:tcPr>
            <w:tcW w:w="1809" w:type="dxa"/>
            <w:shd w:val="clear" w:color="auto" w:fill="auto"/>
            <w:vAlign w:val="center"/>
          </w:tcPr>
          <w:p>
            <w:pPr>
              <w:adjustRightInd/>
              <w:spacing w:line="360" w:lineRule="auto"/>
              <w:jc w:val="center"/>
              <w:rPr>
                <w:rFonts w:ascii="宋体" w:hAnsi="宋体" w:cs="宋体"/>
                <w:highlight w:val="none"/>
              </w:rPr>
            </w:pPr>
            <w:r>
              <w:rPr>
                <w:rFonts w:hint="eastAsia" w:ascii="宋体" w:hAnsi="宋体" w:cs="宋体"/>
                <w:highlight w:val="none"/>
              </w:rPr>
              <w:t>信用</w:t>
            </w:r>
          </w:p>
        </w:tc>
        <w:tc>
          <w:tcPr>
            <w:tcW w:w="6713" w:type="dxa"/>
            <w:shd w:val="clear" w:color="auto" w:fill="auto"/>
            <w:vAlign w:val="center"/>
          </w:tcPr>
          <w:p>
            <w:pPr>
              <w:adjustRightInd/>
              <w:spacing w:line="360" w:lineRule="auto"/>
              <w:ind w:left="105" w:hanging="105" w:hangingChars="50"/>
              <w:jc w:val="both"/>
              <w:textAlignment w:val="auto"/>
              <w:rPr>
                <w:highlight w:val="none"/>
              </w:rPr>
            </w:pPr>
            <w:r>
              <w:rPr>
                <w:rFonts w:hint="eastAsia" w:ascii="宋体" w:hAnsi="宋体" w:cs="宋体"/>
                <w:highlight w:val="none"/>
              </w:rPr>
              <w:t>投标人未被列入国家企业信用信息公示系统严重违法失信企业名单；未被列入“信用中国”网站失信被执行人、重大税收违法失信主体、政府采购严重违法失信行为记录名单；未处于中国政府采购网政府采购严重违法失信行为禁止参加政府采购活动期间。注：如投标方未提交上述证明材料，</w:t>
            </w:r>
            <w:r>
              <w:rPr>
                <w:rFonts w:hint="eastAsia" w:ascii="宋体" w:hAnsi="宋体" w:cs="宋体"/>
                <w:highlight w:val="none"/>
                <w:lang w:eastAsia="zh-CN"/>
              </w:rPr>
              <w:t>则</w:t>
            </w:r>
            <w:r>
              <w:rPr>
                <w:rFonts w:hint="eastAsia" w:ascii="宋体" w:hAnsi="宋体" w:cs="宋体"/>
                <w:highlight w:val="none"/>
              </w:rPr>
              <w:t>由评选小组核查。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1809" w:type="dxa"/>
            <w:shd w:val="clear" w:color="auto" w:fill="auto"/>
            <w:vAlign w:val="center"/>
          </w:tcPr>
          <w:p>
            <w:pPr>
              <w:adjustRightInd/>
              <w:spacing w:line="360" w:lineRule="auto"/>
              <w:jc w:val="center"/>
              <w:rPr>
                <w:rFonts w:ascii="宋体" w:hAnsi="宋体" w:cs="宋体"/>
                <w:highlight w:val="none"/>
              </w:rPr>
            </w:pPr>
            <w:r>
              <w:rPr>
                <w:rFonts w:hint="eastAsia" w:ascii="宋体" w:hAnsi="宋体" w:cs="宋体"/>
                <w:highlight w:val="none"/>
              </w:rPr>
              <w:t>报价</w:t>
            </w:r>
          </w:p>
        </w:tc>
        <w:tc>
          <w:tcPr>
            <w:tcW w:w="6713" w:type="dxa"/>
            <w:shd w:val="clear" w:color="auto" w:fill="auto"/>
            <w:vAlign w:val="center"/>
          </w:tcPr>
          <w:p>
            <w:pPr>
              <w:adjustRightInd/>
              <w:spacing w:line="360" w:lineRule="auto"/>
              <w:jc w:val="both"/>
              <w:rPr>
                <w:rFonts w:hint="default" w:ascii="宋体" w:hAnsi="宋体" w:eastAsia="宋体" w:cs="宋体"/>
                <w:highlight w:val="none"/>
                <w:lang w:val="en-US" w:eastAsia="zh-CN"/>
              </w:rPr>
            </w:pPr>
            <w:r>
              <w:rPr>
                <w:rFonts w:hint="eastAsia"/>
                <w:highlight w:val="none"/>
              </w:rPr>
              <w:t>本项目</w:t>
            </w:r>
            <w:r>
              <w:rPr>
                <w:rFonts w:hint="eastAsia"/>
                <w:highlight w:val="none"/>
                <w:lang w:eastAsia="zh-CN"/>
              </w:rPr>
              <w:t>报价</w:t>
            </w:r>
            <w:r>
              <w:rPr>
                <w:rFonts w:hint="eastAsia"/>
                <w:highlight w:val="none"/>
              </w:rPr>
              <w:t>价格评审以供应商填报的油品优惠额度作为评审依据</w:t>
            </w:r>
            <w:r>
              <w:rPr>
                <w:rFonts w:hint="eastAsia"/>
                <w:highlight w:val="none"/>
                <w:lang w:eastAsia="zh-CN"/>
              </w:rPr>
              <w:t>。</w:t>
            </w:r>
            <w:r>
              <w:rPr>
                <w:rFonts w:hint="eastAsia" w:cs="宋体"/>
                <w:highlight w:val="none"/>
              </w:rPr>
              <w:t>油品优惠在合理报价</w:t>
            </w:r>
            <w:r>
              <w:rPr>
                <w:rFonts w:cs="宋体"/>
                <w:highlight w:val="none"/>
              </w:rPr>
              <w:t>区间范围内。</w:t>
            </w:r>
          </w:p>
        </w:tc>
      </w:tr>
    </w:tbl>
    <w:p>
      <w:pPr>
        <w:pStyle w:val="3"/>
        <w:rPr>
          <w:highlight w:val="none"/>
        </w:rPr>
        <w:sectPr>
          <w:footerReference r:id="rId5" w:type="default"/>
          <w:pgSz w:w="11906" w:h="16838"/>
          <w:pgMar w:top="1440" w:right="1800" w:bottom="1440" w:left="1800" w:header="851" w:footer="992" w:gutter="0"/>
          <w:cols w:space="720" w:num="1"/>
          <w:docGrid w:type="lines" w:linePitch="312" w:charSpace="0"/>
        </w:sectPr>
      </w:pPr>
    </w:p>
    <w:p>
      <w:pPr>
        <w:spacing w:line="360" w:lineRule="auto"/>
        <w:ind w:firstLine="1260" w:firstLineChars="600"/>
        <w:rPr>
          <w:rFonts w:hint="eastAsia" w:ascii="黑体" w:hAnsi="黑体" w:eastAsia="黑体" w:cs="黑体"/>
          <w:highlight w:val="none"/>
        </w:rPr>
      </w:pPr>
      <w:r>
        <w:rPr>
          <w:rFonts w:hint="eastAsia" w:ascii="黑体" w:hAnsi="黑体" w:eastAsia="黑体" w:cs="黑体"/>
          <w:highlight w:val="none"/>
        </w:rPr>
        <w:t>三、详细评审</w:t>
      </w:r>
    </w:p>
    <w:tbl>
      <w:tblPr>
        <w:tblStyle w:val="8"/>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900"/>
        <w:gridCol w:w="5561"/>
        <w:gridCol w:w="1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4" w:hRule="exact"/>
          <w:jc w:val="center"/>
        </w:trPr>
        <w:tc>
          <w:tcPr>
            <w:tcW w:w="1900" w:type="dxa"/>
            <w:shd w:val="clear" w:color="auto" w:fill="FFFFFF"/>
            <w:vAlign w:val="center"/>
          </w:tcPr>
          <w:p>
            <w:pPr>
              <w:spacing w:line="240" w:lineRule="auto"/>
              <w:jc w:val="center"/>
              <w:rPr>
                <w:sz w:val="24"/>
                <w:highlight w:val="none"/>
              </w:rPr>
            </w:pPr>
            <w:r>
              <w:rPr>
                <w:rStyle w:val="20"/>
                <w:sz w:val="24"/>
                <w:highlight w:val="none"/>
              </w:rPr>
              <w:t>评分项目</w:t>
            </w:r>
          </w:p>
        </w:tc>
        <w:tc>
          <w:tcPr>
            <w:tcW w:w="5561" w:type="dxa"/>
            <w:shd w:val="clear" w:color="auto" w:fill="FFFFFF"/>
            <w:vAlign w:val="center"/>
          </w:tcPr>
          <w:p>
            <w:pPr>
              <w:spacing w:line="240" w:lineRule="auto"/>
              <w:jc w:val="center"/>
              <w:rPr>
                <w:sz w:val="24"/>
                <w:highlight w:val="none"/>
              </w:rPr>
            </w:pPr>
            <w:r>
              <w:rPr>
                <w:rStyle w:val="20"/>
                <w:sz w:val="24"/>
                <w:highlight w:val="none"/>
              </w:rPr>
              <w:t>评标指标</w:t>
            </w:r>
          </w:p>
        </w:tc>
        <w:tc>
          <w:tcPr>
            <w:tcW w:w="1199" w:type="dxa"/>
            <w:shd w:val="clear" w:color="auto" w:fill="FFFFFF"/>
            <w:vAlign w:val="center"/>
          </w:tcPr>
          <w:p>
            <w:pPr>
              <w:spacing w:line="240" w:lineRule="auto"/>
              <w:jc w:val="center"/>
              <w:rPr>
                <w:rStyle w:val="20"/>
                <w:sz w:val="24"/>
                <w:highlight w:val="none"/>
              </w:rPr>
            </w:pPr>
            <w:r>
              <w:rPr>
                <w:rStyle w:val="20"/>
                <w:rFonts w:hint="eastAsia"/>
                <w:sz w:val="24"/>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67" w:hRule="exact"/>
          <w:jc w:val="center"/>
        </w:trPr>
        <w:tc>
          <w:tcPr>
            <w:tcW w:w="1900" w:type="dxa"/>
            <w:shd w:val="clear" w:color="auto" w:fill="FFFFFF"/>
            <w:vAlign w:val="center"/>
          </w:tcPr>
          <w:p>
            <w:pPr>
              <w:adjustRightInd/>
              <w:spacing w:line="360" w:lineRule="auto"/>
              <w:jc w:val="center"/>
              <w:rPr>
                <w:rFonts w:hint="eastAsia"/>
                <w:highlight w:val="none"/>
              </w:rPr>
            </w:pPr>
            <w:r>
              <w:rPr>
                <w:rFonts w:hint="eastAsia"/>
                <w:highlight w:val="none"/>
              </w:rPr>
              <w:t>服务方案</w:t>
            </w:r>
          </w:p>
          <w:p>
            <w:pPr>
              <w:adjustRightInd/>
              <w:spacing w:line="360" w:lineRule="auto"/>
              <w:jc w:val="center"/>
              <w:rPr>
                <w:highlight w:val="none"/>
              </w:rPr>
            </w:pPr>
            <w:r>
              <w:rPr>
                <w:rFonts w:hint="eastAsia"/>
                <w:highlight w:val="none"/>
              </w:rPr>
              <w:t>（10分）</w:t>
            </w:r>
          </w:p>
        </w:tc>
        <w:tc>
          <w:tcPr>
            <w:tcW w:w="5561" w:type="dxa"/>
            <w:shd w:val="clear" w:color="auto" w:fill="FFFFFF"/>
            <w:vAlign w:val="center"/>
          </w:tcPr>
          <w:p>
            <w:pPr>
              <w:adjustRightInd/>
              <w:spacing w:before="312" w:beforeLines="100" w:line="360" w:lineRule="auto"/>
              <w:jc w:val="both"/>
              <w:textAlignment w:val="auto"/>
              <w:rPr>
                <w:rFonts w:ascii="宋体" w:hAnsi="宋体" w:cs="宋体"/>
                <w:highlight w:val="none"/>
              </w:rPr>
            </w:pPr>
            <w:r>
              <w:rPr>
                <w:rFonts w:ascii="宋体" w:hAnsi="宋体" w:cs="宋体"/>
                <w:highlight w:val="none"/>
              </w:rPr>
              <w:t>服务方案</w:t>
            </w:r>
            <w:r>
              <w:rPr>
                <w:rFonts w:hint="eastAsia" w:ascii="宋体" w:hAnsi="宋体" w:cs="宋体"/>
                <w:highlight w:val="none"/>
              </w:rPr>
              <w:t>评审内容</w:t>
            </w:r>
            <w:r>
              <w:rPr>
                <w:rFonts w:ascii="宋体" w:hAnsi="宋体" w:cs="宋体"/>
                <w:highlight w:val="none"/>
              </w:rPr>
              <w:t>包括</w:t>
            </w:r>
            <w:r>
              <w:rPr>
                <w:rFonts w:hint="eastAsia" w:ascii="宋体" w:hAnsi="宋体" w:cs="宋体"/>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both"/>
              <w:textAlignment w:val="auto"/>
              <w:rPr>
                <w:rFonts w:hint="eastAsia" w:ascii="宋体" w:hAnsi="宋体" w:eastAsia="宋体" w:cs="宋体"/>
                <w:highlight w:val="none"/>
                <w:lang w:eastAsia="zh-CN"/>
              </w:rPr>
            </w:pPr>
            <w:r>
              <w:rPr>
                <w:rFonts w:ascii="宋体" w:hAnsi="宋体" w:cs="宋体"/>
                <w:highlight w:val="none"/>
              </w:rPr>
              <w:t>1.油品经营管理</w:t>
            </w:r>
            <w:r>
              <w:rPr>
                <w:rFonts w:hint="eastAsia" w:ascii="宋体" w:hAnsi="宋体" w:cs="宋体"/>
                <w:highlight w:val="none"/>
                <w:lang w:eastAsia="zh-CN"/>
              </w:rPr>
              <w:t>；</w:t>
            </w:r>
            <w:r>
              <w:rPr>
                <w:rFonts w:ascii="宋体" w:hAnsi="宋体" w:cs="宋体"/>
                <w:highlight w:val="none"/>
              </w:rPr>
              <w:t>2.消防安全管理</w:t>
            </w:r>
            <w:r>
              <w:rPr>
                <w:rFonts w:hint="eastAsia" w:ascii="宋体" w:hAnsi="宋体" w:cs="宋体"/>
                <w:highlight w:val="none"/>
                <w:lang w:eastAsia="zh-CN"/>
              </w:rPr>
              <w:t>；</w:t>
            </w:r>
            <w:r>
              <w:rPr>
                <w:rFonts w:ascii="宋体" w:hAnsi="宋体" w:cs="宋体"/>
                <w:highlight w:val="none"/>
              </w:rPr>
              <w:t>3.人员组织架构</w:t>
            </w:r>
            <w:r>
              <w:rPr>
                <w:rFonts w:hint="eastAsia" w:ascii="宋体" w:hAnsi="宋体" w:cs="宋体"/>
                <w:highlight w:val="none"/>
                <w:lang w:eastAsia="zh-CN"/>
              </w:rPr>
              <w:t>；</w:t>
            </w:r>
            <w:r>
              <w:rPr>
                <w:rFonts w:hint="eastAsia" w:ascii="宋体" w:hAnsi="宋体" w:cs="宋体"/>
                <w:highlight w:val="none"/>
              </w:rPr>
              <w:t>4</w:t>
            </w:r>
            <w:r>
              <w:rPr>
                <w:rFonts w:ascii="宋体" w:hAnsi="宋体" w:cs="宋体"/>
                <w:highlight w:val="none"/>
              </w:rPr>
              <w:t>.加油站点信息</w:t>
            </w:r>
            <w:r>
              <w:rPr>
                <w:rFonts w:hint="eastAsia" w:ascii="宋体" w:hAnsi="宋体" w:cs="宋体"/>
                <w:highlight w:val="none"/>
                <w:lang w:eastAsia="zh-CN"/>
              </w:rPr>
              <w:t>；</w:t>
            </w:r>
            <w:r>
              <w:rPr>
                <w:rFonts w:hint="eastAsia" w:ascii="宋体" w:hAnsi="宋体" w:cs="宋体"/>
                <w:highlight w:val="none"/>
              </w:rPr>
              <w:t>5</w:t>
            </w:r>
            <w:r>
              <w:rPr>
                <w:rFonts w:ascii="宋体" w:hAnsi="宋体" w:cs="宋体"/>
                <w:highlight w:val="none"/>
              </w:rPr>
              <w:t>.服务响应时间</w:t>
            </w:r>
            <w:r>
              <w:rPr>
                <w:rFonts w:hint="eastAsia" w:ascii="宋体" w:hAnsi="宋体" w:cs="宋体"/>
                <w:highlight w:val="none"/>
                <w:lang w:eastAsia="zh-CN"/>
              </w:rPr>
              <w:t>；</w:t>
            </w:r>
            <w:r>
              <w:rPr>
                <w:rFonts w:hint="eastAsia" w:ascii="宋体" w:hAnsi="宋体" w:cs="宋体"/>
                <w:highlight w:val="none"/>
              </w:rPr>
              <w:t>6</w:t>
            </w:r>
            <w:r>
              <w:rPr>
                <w:rFonts w:ascii="宋体" w:hAnsi="宋体" w:cs="宋体"/>
                <w:highlight w:val="none"/>
              </w:rPr>
              <w:t>.服务措施</w:t>
            </w:r>
            <w:r>
              <w:rPr>
                <w:rFonts w:hint="eastAsia" w:ascii="宋体" w:hAnsi="宋体" w:cs="宋体"/>
                <w:highlight w:val="none"/>
                <w:lang w:eastAsia="zh-CN"/>
              </w:rPr>
              <w:t>；</w:t>
            </w:r>
            <w:r>
              <w:rPr>
                <w:rFonts w:ascii="宋体" w:hAnsi="宋体" w:cs="宋体"/>
                <w:highlight w:val="none"/>
              </w:rPr>
              <w:t>7.投诉处理</w:t>
            </w:r>
            <w:r>
              <w:rPr>
                <w:rFonts w:hint="eastAsia" w:ascii="宋体" w:hAnsi="宋体" w:cs="宋体"/>
                <w:highlight w:val="none"/>
                <w:lang w:eastAsia="zh-CN"/>
              </w:rPr>
              <w:t>；</w:t>
            </w:r>
            <w:r>
              <w:rPr>
                <w:rFonts w:hint="eastAsia" w:ascii="宋体" w:hAnsi="宋体" w:cs="宋体"/>
                <w:highlight w:val="none"/>
              </w:rPr>
              <w:t>8.财务会计制度</w:t>
            </w:r>
            <w:r>
              <w:rPr>
                <w:rFonts w:hint="eastAsia" w:ascii="宋体" w:hAnsi="宋体" w:cs="宋体"/>
                <w:highlight w:val="none"/>
                <w:lang w:eastAsia="zh-CN"/>
              </w:rPr>
              <w:t>；</w:t>
            </w:r>
            <w:r>
              <w:rPr>
                <w:rFonts w:hint="eastAsia" w:ascii="宋体" w:hAnsi="宋体" w:cs="宋体"/>
                <w:highlight w:val="none"/>
              </w:rPr>
              <w:t>9.缴纳税收情况</w:t>
            </w:r>
            <w:r>
              <w:rPr>
                <w:rFonts w:hint="eastAsia" w:ascii="宋体" w:hAnsi="宋体" w:cs="宋体"/>
                <w:highlight w:val="none"/>
                <w:lang w:eastAsia="zh-CN"/>
              </w:rPr>
              <w:t>；</w:t>
            </w:r>
            <w:r>
              <w:rPr>
                <w:rFonts w:hint="eastAsia" w:ascii="宋体" w:hAnsi="宋体" w:cs="宋体"/>
                <w:highlight w:val="none"/>
              </w:rPr>
              <w:t>1</w:t>
            </w:r>
            <w:bookmarkStart w:id="0" w:name="_GoBack"/>
            <w:bookmarkEnd w:id="0"/>
            <w:r>
              <w:rPr>
                <w:rFonts w:hint="eastAsia" w:ascii="宋体" w:hAnsi="宋体" w:cs="宋体"/>
                <w:highlight w:val="none"/>
              </w:rPr>
              <w:t>0.</w:t>
            </w:r>
            <w:r>
              <w:rPr>
                <w:rFonts w:hint="eastAsia"/>
                <w:highlight w:val="none"/>
              </w:rPr>
              <w:t xml:space="preserve"> </w:t>
            </w:r>
            <w:r>
              <w:rPr>
                <w:rFonts w:hint="eastAsia" w:ascii="宋体" w:hAnsi="宋体" w:cs="宋体"/>
                <w:highlight w:val="none"/>
              </w:rPr>
              <w:t>履行合同所必需的设备和专业技术能力</w:t>
            </w:r>
            <w:r>
              <w:rPr>
                <w:rFonts w:hint="eastAsia" w:ascii="宋体" w:hAnsi="宋体" w:cs="宋体"/>
                <w:highlight w:val="none"/>
                <w:lang w:eastAsia="zh-CN"/>
              </w:rPr>
              <w:t>。</w:t>
            </w:r>
          </w:p>
          <w:p>
            <w:pPr>
              <w:adjustRightInd/>
              <w:spacing w:before="312" w:beforeLines="100" w:line="360" w:lineRule="auto"/>
              <w:jc w:val="both"/>
              <w:textAlignment w:val="auto"/>
              <w:rPr>
                <w:rFonts w:ascii="宋体" w:hAnsi="宋体" w:cs="宋体"/>
                <w:highlight w:val="none"/>
              </w:rPr>
            </w:pPr>
            <w:r>
              <w:rPr>
                <w:rFonts w:ascii="宋体" w:hAnsi="宋体" w:cs="宋体"/>
                <w:highlight w:val="none"/>
              </w:rPr>
              <w:t>投标人</w:t>
            </w:r>
            <w:r>
              <w:rPr>
                <w:rFonts w:hint="eastAsia" w:ascii="宋体" w:hAnsi="宋体" w:cs="宋体"/>
                <w:highlight w:val="none"/>
              </w:rPr>
              <w:t>提供的服务方案每体现一项评审内容得1分，本小项最高得10分。</w:t>
            </w:r>
          </w:p>
          <w:p>
            <w:pPr>
              <w:adjustRightInd/>
              <w:spacing w:before="312" w:beforeLines="100" w:line="360" w:lineRule="auto"/>
              <w:jc w:val="both"/>
              <w:textAlignment w:val="auto"/>
              <w:rPr>
                <w:rFonts w:ascii="宋体" w:hAnsi="宋体" w:cs="宋体"/>
                <w:highlight w:val="none"/>
              </w:rPr>
            </w:pPr>
          </w:p>
          <w:p>
            <w:pPr>
              <w:adjustRightInd/>
              <w:spacing w:before="312" w:beforeLines="100" w:line="360" w:lineRule="auto"/>
              <w:jc w:val="both"/>
              <w:textAlignment w:val="auto"/>
              <w:rPr>
                <w:rFonts w:ascii="宋体" w:hAnsi="宋体" w:cs="宋体"/>
                <w:highlight w:val="none"/>
              </w:rPr>
            </w:pPr>
          </w:p>
        </w:tc>
        <w:tc>
          <w:tcPr>
            <w:tcW w:w="1199" w:type="dxa"/>
            <w:shd w:val="clear" w:color="auto" w:fill="FFFFFF"/>
            <w:vAlign w:val="center"/>
          </w:tcPr>
          <w:p>
            <w:pPr>
              <w:spacing w:line="240" w:lineRule="auto"/>
              <w:jc w:val="center"/>
              <w:rPr>
                <w:rStyle w:val="2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8" w:hRule="exact"/>
          <w:jc w:val="center"/>
        </w:trPr>
        <w:tc>
          <w:tcPr>
            <w:tcW w:w="1900" w:type="dxa"/>
            <w:shd w:val="clear" w:color="auto" w:fill="FFFFFF"/>
            <w:vAlign w:val="center"/>
          </w:tcPr>
          <w:p>
            <w:pPr>
              <w:adjustRightInd/>
              <w:spacing w:line="360" w:lineRule="auto"/>
              <w:jc w:val="center"/>
              <w:rPr>
                <w:rFonts w:hint="eastAsia"/>
                <w:highlight w:val="none"/>
              </w:rPr>
            </w:pPr>
            <w:r>
              <w:rPr>
                <w:rFonts w:hint="eastAsia"/>
                <w:highlight w:val="none"/>
              </w:rPr>
              <w:t>加油服务便利性</w:t>
            </w:r>
          </w:p>
          <w:p>
            <w:pPr>
              <w:adjustRightInd/>
              <w:spacing w:line="360" w:lineRule="auto"/>
              <w:jc w:val="center"/>
              <w:rPr>
                <w:highlight w:val="none"/>
              </w:rPr>
            </w:pPr>
            <w:r>
              <w:rPr>
                <w:rFonts w:hint="eastAsia"/>
                <w:highlight w:val="none"/>
              </w:rPr>
              <w:t>（</w:t>
            </w:r>
            <w:r>
              <w:rPr>
                <w:rFonts w:hint="eastAsia"/>
                <w:highlight w:val="none"/>
                <w:lang w:val="en-US" w:eastAsia="zh-CN"/>
              </w:rPr>
              <w:t>2</w:t>
            </w:r>
            <w:r>
              <w:rPr>
                <w:rFonts w:hint="eastAsia"/>
                <w:highlight w:val="none"/>
              </w:rPr>
              <w:t>0分）</w:t>
            </w:r>
          </w:p>
        </w:tc>
        <w:tc>
          <w:tcPr>
            <w:tcW w:w="5561" w:type="dxa"/>
            <w:shd w:val="clear" w:color="auto" w:fill="FFFFFF"/>
          </w:tcPr>
          <w:p>
            <w:pPr>
              <w:adjustRightInd/>
              <w:spacing w:before="312" w:beforeLines="100" w:line="360" w:lineRule="auto"/>
              <w:jc w:val="both"/>
              <w:textAlignment w:val="auto"/>
              <w:rPr>
                <w:rFonts w:hint="default" w:ascii="宋体" w:hAnsi="宋体" w:eastAsia="宋体" w:cs="宋体"/>
                <w:highlight w:val="none"/>
                <w:lang w:val="en-US" w:eastAsia="zh-CN"/>
              </w:rPr>
            </w:pPr>
            <w:r>
              <w:rPr>
                <w:rFonts w:hint="eastAsia" w:ascii="宋体" w:hAnsi="宋体" w:cs="宋体"/>
                <w:highlight w:val="none"/>
              </w:rPr>
              <w:t>（1）</w:t>
            </w:r>
            <w:r>
              <w:rPr>
                <w:rFonts w:ascii="宋体" w:hAnsi="宋体" w:cs="宋体"/>
                <w:highlight w:val="none"/>
              </w:rPr>
              <w:t>投标</w:t>
            </w:r>
            <w:r>
              <w:rPr>
                <w:rFonts w:hint="eastAsia" w:ascii="宋体" w:hAnsi="宋体" w:cs="宋体"/>
                <w:highlight w:val="none"/>
              </w:rPr>
              <w:t>方</w:t>
            </w:r>
            <w:r>
              <w:rPr>
                <w:rFonts w:ascii="宋体" w:hAnsi="宋体" w:cs="宋体"/>
                <w:highlight w:val="none"/>
              </w:rPr>
              <w:t>承诺拟投入本项目服务的</w:t>
            </w:r>
            <w:r>
              <w:rPr>
                <w:rFonts w:hint="eastAsia" w:ascii="宋体" w:hAnsi="宋体" w:cs="宋体"/>
                <w:highlight w:val="none"/>
                <w:lang w:eastAsia="zh-CN"/>
              </w:rPr>
              <w:t>开平市</w:t>
            </w:r>
            <w:r>
              <w:rPr>
                <w:rFonts w:ascii="宋体" w:hAnsi="宋体" w:cs="宋体"/>
                <w:highlight w:val="none"/>
              </w:rPr>
              <w:t>各加油站至其辐射范围各片区能满足</w:t>
            </w:r>
            <w:r>
              <w:rPr>
                <w:rFonts w:hint="eastAsia" w:ascii="宋体" w:hAnsi="宋体" w:cs="宋体"/>
                <w:highlight w:val="none"/>
                <w:lang w:val="en-US" w:eastAsia="zh-CN"/>
              </w:rPr>
              <w:t>20</w:t>
            </w:r>
            <w:r>
              <w:rPr>
                <w:rFonts w:ascii="宋体" w:hAnsi="宋体" w:cs="宋体"/>
                <w:highlight w:val="none"/>
              </w:rPr>
              <w:t>分钟内到达，并提供加油服务的得</w:t>
            </w:r>
            <w:r>
              <w:rPr>
                <w:rFonts w:hint="eastAsia" w:ascii="宋体" w:hAnsi="宋体" w:cs="宋体"/>
                <w:color w:val="auto"/>
                <w:highlight w:val="none"/>
                <w:lang w:val="en-US" w:eastAsia="zh-CN"/>
              </w:rPr>
              <w:t>4</w:t>
            </w:r>
            <w:r>
              <w:rPr>
                <w:rFonts w:ascii="宋体" w:hAnsi="宋体" w:cs="宋体"/>
                <w:highlight w:val="none"/>
              </w:rPr>
              <w:t>分</w:t>
            </w:r>
            <w:r>
              <w:rPr>
                <w:rFonts w:hint="eastAsia" w:ascii="宋体" w:hAnsi="宋体" w:cs="宋体"/>
                <w:highlight w:val="none"/>
                <w:lang w:eastAsia="zh-CN"/>
              </w:rPr>
              <w:t>；</w:t>
            </w:r>
            <w:r>
              <w:rPr>
                <w:rFonts w:hint="eastAsia" w:ascii="宋体" w:hAnsi="宋体" w:cs="宋体"/>
                <w:highlight w:val="none"/>
                <w:lang w:val="en-US" w:eastAsia="zh-CN"/>
              </w:rPr>
              <w:t>30分钟到达得3分；40分钟到达得2分。超过40分钟得1分。</w:t>
            </w:r>
          </w:p>
          <w:p>
            <w:pPr>
              <w:adjustRightInd/>
              <w:spacing w:before="312" w:beforeLines="100" w:line="360" w:lineRule="auto"/>
              <w:jc w:val="both"/>
              <w:textAlignment w:val="auto"/>
              <w:rPr>
                <w:rFonts w:ascii="宋体" w:hAnsi="宋体" w:cs="宋体"/>
                <w:highlight w:val="none"/>
              </w:rPr>
            </w:pPr>
            <w:r>
              <w:rPr>
                <w:rFonts w:hint="eastAsia" w:ascii="宋体" w:hAnsi="宋体" w:cs="宋体"/>
                <w:highlight w:val="none"/>
              </w:rPr>
              <w:t>（2）根据投标</w:t>
            </w:r>
            <w:r>
              <w:rPr>
                <w:rFonts w:hint="eastAsia" w:ascii="宋体" w:hAnsi="宋体" w:cs="宋体"/>
                <w:highlight w:val="none"/>
                <w:lang w:eastAsia="zh-CN"/>
              </w:rPr>
              <w:t>人在开平市区域内</w:t>
            </w:r>
            <w:r>
              <w:rPr>
                <w:rFonts w:hint="eastAsia" w:ascii="宋体" w:hAnsi="宋体" w:cs="宋体"/>
                <w:highlight w:val="none"/>
              </w:rPr>
              <w:t>提供的加油站数量进行评审，每提供一个加油站点得2分</w:t>
            </w:r>
            <w:r>
              <w:rPr>
                <w:rFonts w:ascii="宋体" w:hAnsi="宋体" w:cs="宋体"/>
                <w:highlight w:val="none"/>
              </w:rPr>
              <w:t>。</w:t>
            </w:r>
          </w:p>
          <w:p>
            <w:pPr>
              <w:adjustRightInd/>
              <w:spacing w:before="312" w:beforeLines="100" w:line="360" w:lineRule="auto"/>
              <w:jc w:val="both"/>
              <w:textAlignment w:val="auto"/>
              <w:rPr>
                <w:rFonts w:ascii="宋体" w:hAnsi="宋体" w:cs="宋体"/>
                <w:highlight w:val="none"/>
              </w:rPr>
            </w:pPr>
            <w:r>
              <w:rPr>
                <w:rFonts w:hint="eastAsia" w:ascii="宋体" w:hAnsi="宋体" w:cs="宋体"/>
                <w:highlight w:val="none"/>
                <w:lang w:eastAsia="zh-CN"/>
              </w:rPr>
              <w:t>以上两</w:t>
            </w:r>
            <w:r>
              <w:rPr>
                <w:rFonts w:ascii="宋体" w:hAnsi="宋体" w:cs="宋体"/>
                <w:highlight w:val="none"/>
              </w:rPr>
              <w:t>项最高得</w:t>
            </w:r>
            <w:r>
              <w:rPr>
                <w:rFonts w:hint="eastAsia" w:ascii="宋体" w:hAnsi="宋体" w:cs="宋体"/>
                <w:highlight w:val="none"/>
                <w:lang w:val="en-US" w:eastAsia="zh-CN"/>
              </w:rPr>
              <w:t>20</w:t>
            </w:r>
            <w:r>
              <w:rPr>
                <w:rFonts w:ascii="宋体" w:hAnsi="宋体" w:cs="宋体"/>
                <w:highlight w:val="none"/>
              </w:rPr>
              <w:t>分</w:t>
            </w:r>
          </w:p>
          <w:p>
            <w:pPr>
              <w:adjustRightInd/>
              <w:spacing w:before="312" w:beforeLines="100" w:line="360" w:lineRule="auto"/>
              <w:jc w:val="both"/>
              <w:textAlignment w:val="auto"/>
              <w:rPr>
                <w:rFonts w:ascii="宋体" w:hAnsi="宋体" w:cs="宋体"/>
                <w:highlight w:val="none"/>
              </w:rPr>
            </w:pPr>
            <w:r>
              <w:rPr>
                <w:rFonts w:hint="eastAsia" w:ascii="宋体" w:hAnsi="宋体" w:cs="宋体"/>
                <w:highlight w:val="none"/>
              </w:rPr>
              <w:t>注：</w:t>
            </w:r>
            <w:r>
              <w:rPr>
                <w:rFonts w:ascii="宋体" w:hAnsi="宋体" w:cs="宋体"/>
                <w:highlight w:val="none"/>
              </w:rPr>
              <w:t>投标</w:t>
            </w:r>
            <w:r>
              <w:rPr>
                <w:rFonts w:hint="eastAsia" w:ascii="宋体" w:hAnsi="宋体" w:cs="宋体"/>
                <w:highlight w:val="none"/>
              </w:rPr>
              <w:t>方</w:t>
            </w:r>
            <w:r>
              <w:rPr>
                <w:rFonts w:ascii="宋体" w:hAnsi="宋体" w:cs="宋体"/>
                <w:highlight w:val="none"/>
              </w:rPr>
              <w:t>须提供每个加油站的详细地址、可供油品种类、各油品种类的油枪数目</w:t>
            </w:r>
            <w:r>
              <w:rPr>
                <w:rFonts w:hint="eastAsia" w:ascii="宋体" w:hAnsi="宋体" w:cs="宋体"/>
                <w:highlight w:val="none"/>
              </w:rPr>
              <w:t>，以评价加油服务的便利性。</w:t>
            </w:r>
          </w:p>
          <w:p>
            <w:pPr>
              <w:adjustRightInd/>
              <w:spacing w:before="312" w:beforeLines="100" w:line="360" w:lineRule="auto"/>
              <w:jc w:val="both"/>
              <w:textAlignment w:val="auto"/>
              <w:rPr>
                <w:rFonts w:ascii="宋体" w:hAnsi="宋体" w:cs="宋体"/>
                <w:highlight w:val="none"/>
              </w:rPr>
            </w:pPr>
          </w:p>
          <w:p>
            <w:pPr>
              <w:adjustRightInd/>
              <w:spacing w:before="312" w:beforeLines="100" w:line="360" w:lineRule="auto"/>
              <w:jc w:val="both"/>
              <w:textAlignment w:val="auto"/>
              <w:rPr>
                <w:rFonts w:ascii="宋体" w:hAnsi="宋体" w:cs="宋体"/>
                <w:highlight w:val="none"/>
              </w:rPr>
            </w:pPr>
          </w:p>
        </w:tc>
        <w:tc>
          <w:tcPr>
            <w:tcW w:w="1199" w:type="dxa"/>
            <w:shd w:val="clear" w:color="auto" w:fill="FFFFFF"/>
            <w:vAlign w:val="center"/>
          </w:tcPr>
          <w:p>
            <w:pPr>
              <w:spacing w:line="240" w:lineRule="auto"/>
              <w:jc w:val="center"/>
              <w:rPr>
                <w:rStyle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79" w:hRule="exact"/>
          <w:jc w:val="center"/>
        </w:trPr>
        <w:tc>
          <w:tcPr>
            <w:tcW w:w="1900" w:type="dxa"/>
            <w:shd w:val="clear" w:color="auto" w:fill="FFFFFF"/>
            <w:vAlign w:val="center"/>
          </w:tcPr>
          <w:p>
            <w:pPr>
              <w:adjustRightInd/>
              <w:spacing w:line="360" w:lineRule="auto"/>
              <w:jc w:val="center"/>
              <w:rPr>
                <w:rFonts w:hint="eastAsia"/>
              </w:rPr>
            </w:pPr>
            <w:r>
              <w:rPr>
                <w:rFonts w:hint="eastAsia"/>
              </w:rPr>
              <w:t>信息化服务</w:t>
            </w:r>
          </w:p>
          <w:p>
            <w:pPr>
              <w:adjustRightInd/>
              <w:spacing w:line="360" w:lineRule="auto"/>
              <w:jc w:val="center"/>
            </w:pPr>
            <w:r>
              <w:rPr>
                <w:rFonts w:hint="eastAsia"/>
              </w:rPr>
              <w:t>（10分）</w:t>
            </w:r>
          </w:p>
        </w:tc>
        <w:tc>
          <w:tcPr>
            <w:tcW w:w="5561" w:type="dxa"/>
            <w:shd w:val="clear" w:color="auto" w:fill="FFFFFF"/>
          </w:tcPr>
          <w:p>
            <w:pPr>
              <w:adjustRightInd/>
              <w:spacing w:before="312" w:beforeLines="100" w:line="360" w:lineRule="auto"/>
              <w:jc w:val="both"/>
              <w:textAlignment w:val="auto"/>
              <w:rPr>
                <w:rFonts w:ascii="宋体" w:hAnsi="宋体" w:cs="宋体"/>
              </w:rPr>
            </w:pPr>
            <w:r>
              <w:rPr>
                <w:rFonts w:hint="eastAsia" w:ascii="宋体" w:hAnsi="宋体" w:cs="宋体"/>
              </w:rPr>
              <w:t>（1）投标方具备便利的加油卡管理信息化系统，如支持在线实时查询加油记录、当前和历史消费明细、及时更新车辆信息、实时监控等功能，得10分。</w:t>
            </w:r>
          </w:p>
          <w:p>
            <w:pPr>
              <w:adjustRightInd/>
              <w:spacing w:before="312" w:beforeLines="100" w:line="360" w:lineRule="auto"/>
              <w:jc w:val="both"/>
              <w:textAlignment w:val="auto"/>
              <w:rPr>
                <w:rFonts w:ascii="宋体" w:hAnsi="宋体" w:cs="宋体"/>
              </w:rPr>
            </w:pPr>
            <w:r>
              <w:rPr>
                <w:rFonts w:hint="eastAsia" w:ascii="宋体" w:hAnsi="宋体" w:cs="宋体"/>
              </w:rPr>
              <w:t>（2）投标方加油卡信息化功能较简单，仅能提供基本的查询功能，信息更新慢，得5分。</w:t>
            </w:r>
          </w:p>
          <w:p>
            <w:pPr>
              <w:adjustRightInd/>
              <w:spacing w:before="312" w:beforeLines="100" w:line="360" w:lineRule="auto"/>
              <w:jc w:val="both"/>
              <w:textAlignment w:val="auto"/>
              <w:rPr>
                <w:rFonts w:ascii="宋体" w:hAnsi="宋体" w:cs="宋体"/>
              </w:rPr>
            </w:pPr>
            <w:r>
              <w:rPr>
                <w:rFonts w:hint="eastAsia" w:ascii="宋体" w:hAnsi="宋体" w:cs="宋体"/>
              </w:rPr>
              <w:t>（3）投标方缺乏信息化服务，得0分。</w:t>
            </w:r>
          </w:p>
        </w:tc>
        <w:tc>
          <w:tcPr>
            <w:tcW w:w="1199" w:type="dxa"/>
            <w:shd w:val="clear" w:color="auto" w:fill="FFFFFF"/>
            <w:vAlign w:val="center"/>
          </w:tcPr>
          <w:p>
            <w:pPr>
              <w:spacing w:line="240" w:lineRule="auto"/>
              <w:jc w:val="center"/>
              <w:rPr>
                <w:rStyle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441" w:hRule="exact"/>
          <w:jc w:val="center"/>
        </w:trPr>
        <w:tc>
          <w:tcPr>
            <w:tcW w:w="1900" w:type="dxa"/>
            <w:shd w:val="clear" w:color="auto" w:fill="FFFFFF"/>
            <w:vAlign w:val="center"/>
          </w:tcPr>
          <w:p>
            <w:pPr>
              <w:adjustRightInd/>
              <w:spacing w:line="360" w:lineRule="auto"/>
              <w:jc w:val="center"/>
              <w:rPr>
                <w:rFonts w:hint="eastAsia"/>
                <w:lang w:eastAsia="zh-CN"/>
              </w:rPr>
            </w:pPr>
            <w:r>
              <w:rPr>
                <w:rFonts w:hint="eastAsia"/>
              </w:rPr>
              <w:t>安全</w:t>
            </w:r>
            <w:r>
              <w:rPr>
                <w:rFonts w:hint="eastAsia"/>
                <w:lang w:eastAsia="zh-CN"/>
              </w:rPr>
              <w:t>保障措施</w:t>
            </w:r>
          </w:p>
          <w:p>
            <w:pPr>
              <w:adjustRightInd/>
              <w:spacing w:line="360" w:lineRule="auto"/>
              <w:jc w:val="center"/>
            </w:pPr>
            <w:r>
              <w:rPr>
                <w:rFonts w:hint="eastAsia"/>
              </w:rPr>
              <w:t>（10分）</w:t>
            </w:r>
          </w:p>
        </w:tc>
        <w:tc>
          <w:tcPr>
            <w:tcW w:w="5561" w:type="dxa"/>
            <w:shd w:val="clear" w:color="auto" w:fill="FFFFFF"/>
          </w:tcPr>
          <w:p>
            <w:pPr>
              <w:adjustRightInd/>
              <w:spacing w:before="312" w:beforeLines="100" w:line="360" w:lineRule="auto"/>
              <w:jc w:val="both"/>
              <w:textAlignment w:val="auto"/>
              <w:rPr>
                <w:rFonts w:ascii="宋体" w:hAnsi="宋体" w:cs="宋体"/>
              </w:rPr>
            </w:pPr>
            <w:r>
              <w:rPr>
                <w:rFonts w:hint="eastAsia" w:ascii="宋体" w:hAnsi="宋体" w:cs="宋体"/>
              </w:rPr>
              <w:t>安全</w:t>
            </w:r>
            <w:r>
              <w:rPr>
                <w:rFonts w:hint="eastAsia" w:ascii="宋体" w:hAnsi="宋体" w:cs="宋体"/>
                <w:lang w:eastAsia="zh-CN"/>
              </w:rPr>
              <w:t>保障措施</w:t>
            </w:r>
            <w:r>
              <w:rPr>
                <w:rFonts w:hint="eastAsia" w:ascii="宋体" w:hAnsi="宋体" w:cs="宋体"/>
              </w:rPr>
              <w:t>包括：</w:t>
            </w:r>
          </w:p>
          <w:p>
            <w:pPr>
              <w:adjustRightInd/>
              <w:spacing w:line="360" w:lineRule="auto"/>
              <w:ind w:left="105" w:hanging="105" w:hangingChars="50"/>
              <w:jc w:val="both"/>
              <w:textAlignment w:val="auto"/>
              <w:rPr>
                <w:rFonts w:hint="eastAsia" w:ascii="宋体" w:hAnsi="宋体" w:cs="宋体"/>
                <w:lang w:eastAsia="zh-CN"/>
              </w:rPr>
            </w:pPr>
            <w:r>
              <w:rPr>
                <w:rFonts w:hint="eastAsia" w:ascii="宋体" w:hAnsi="宋体" w:cs="宋体"/>
              </w:rPr>
              <w:t>1.</w:t>
            </w:r>
            <w:r>
              <w:t>燃油是否符合国家质量认证标准和安全环保标准</w:t>
            </w:r>
            <w:r>
              <w:rPr>
                <w:rFonts w:hint="eastAsia" w:ascii="宋体" w:hAnsi="宋体" w:cs="宋体"/>
                <w:lang w:eastAsia="zh-CN"/>
              </w:rPr>
              <w:t>；</w:t>
            </w:r>
          </w:p>
          <w:p>
            <w:pPr>
              <w:adjustRightInd/>
              <w:spacing w:line="360" w:lineRule="auto"/>
              <w:ind w:left="105" w:hanging="105" w:hangingChars="50"/>
              <w:jc w:val="both"/>
              <w:textAlignment w:val="auto"/>
              <w:rPr>
                <w:rFonts w:hint="eastAsia" w:ascii="宋体" w:hAnsi="宋体" w:cs="宋体"/>
                <w:lang w:eastAsia="zh-CN"/>
              </w:rPr>
            </w:pPr>
            <w:r>
              <w:rPr>
                <w:rFonts w:ascii="宋体" w:hAnsi="宋体" w:cs="宋体"/>
              </w:rPr>
              <w:t>2.加油站点配套设施是否符合国家有关要求</w:t>
            </w:r>
            <w:r>
              <w:rPr>
                <w:rFonts w:hint="eastAsia" w:ascii="宋体" w:hAnsi="宋体" w:cs="宋体"/>
                <w:lang w:eastAsia="zh-CN"/>
              </w:rPr>
              <w:t>；</w:t>
            </w:r>
          </w:p>
          <w:p>
            <w:pPr>
              <w:adjustRightInd/>
              <w:spacing w:line="360" w:lineRule="auto"/>
              <w:ind w:left="105" w:hanging="105" w:hangingChars="50"/>
              <w:jc w:val="both"/>
              <w:textAlignment w:val="auto"/>
              <w:rPr>
                <w:rFonts w:hint="eastAsia" w:ascii="宋体" w:hAnsi="宋体" w:cs="宋体"/>
                <w:lang w:eastAsia="zh-CN"/>
              </w:rPr>
            </w:pPr>
            <w:r>
              <w:rPr>
                <w:rFonts w:ascii="宋体" w:hAnsi="宋体" w:cs="宋体"/>
              </w:rPr>
              <w:t>3.加油站作业</w:t>
            </w:r>
            <w:r>
              <w:rPr>
                <w:rFonts w:hint="eastAsia" w:ascii="宋体" w:hAnsi="宋体" w:cs="宋体"/>
              </w:rPr>
              <w:t>、消防安全</w:t>
            </w:r>
            <w:r>
              <w:rPr>
                <w:rFonts w:hint="eastAsia" w:ascii="宋体" w:hAnsi="宋体" w:cs="宋体"/>
                <w:lang w:eastAsia="zh-CN"/>
              </w:rPr>
              <w:t>；</w:t>
            </w:r>
          </w:p>
          <w:p>
            <w:pPr>
              <w:adjustRightInd/>
              <w:spacing w:line="360" w:lineRule="auto"/>
              <w:ind w:left="105" w:hanging="105" w:hangingChars="50"/>
              <w:jc w:val="both"/>
              <w:textAlignment w:val="auto"/>
              <w:rPr>
                <w:rFonts w:hint="eastAsia" w:ascii="宋体" w:hAnsi="宋体" w:cs="宋体"/>
                <w:lang w:eastAsia="zh-CN"/>
              </w:rPr>
            </w:pPr>
            <w:r>
              <w:rPr>
                <w:rFonts w:ascii="宋体" w:hAnsi="宋体" w:cs="宋体"/>
              </w:rPr>
              <w:t>4.应急预案组织架构组成</w:t>
            </w:r>
            <w:r>
              <w:rPr>
                <w:rFonts w:hint="eastAsia" w:ascii="宋体" w:hAnsi="宋体" w:cs="宋体"/>
                <w:lang w:eastAsia="zh-CN"/>
              </w:rPr>
              <w:t>；</w:t>
            </w:r>
          </w:p>
          <w:p>
            <w:pPr>
              <w:adjustRightInd/>
              <w:spacing w:line="360" w:lineRule="auto"/>
              <w:ind w:left="105" w:hanging="105" w:hangingChars="50"/>
              <w:jc w:val="both"/>
              <w:textAlignment w:val="auto"/>
              <w:rPr>
                <w:rFonts w:hint="eastAsia" w:ascii="宋体" w:hAnsi="宋体" w:eastAsia="宋体" w:cs="宋体"/>
                <w:lang w:eastAsia="zh-CN"/>
              </w:rPr>
            </w:pPr>
            <w:r>
              <w:rPr>
                <w:rFonts w:hint="eastAsia" w:ascii="宋体" w:hAnsi="宋体" w:cs="宋体"/>
              </w:rPr>
              <w:t>5.采购人</w:t>
            </w:r>
            <w:r>
              <w:rPr>
                <w:rFonts w:ascii="宋体" w:hAnsi="宋体" w:cs="宋体"/>
              </w:rPr>
              <w:t>紧急任务、不可抗力事件突发的处理措施</w:t>
            </w:r>
            <w:r>
              <w:rPr>
                <w:rFonts w:hint="eastAsia" w:ascii="宋体" w:hAnsi="宋体" w:cs="宋体"/>
                <w:lang w:eastAsia="zh-CN"/>
              </w:rPr>
              <w:t>。</w:t>
            </w:r>
          </w:p>
          <w:p>
            <w:pPr>
              <w:adjustRightInd/>
              <w:spacing w:before="312" w:beforeLines="100" w:line="360" w:lineRule="auto"/>
              <w:jc w:val="both"/>
              <w:textAlignment w:val="auto"/>
              <w:rPr>
                <w:rFonts w:ascii="宋体" w:hAnsi="宋体" w:cs="宋体"/>
              </w:rPr>
            </w:pPr>
            <w:r>
              <w:rPr>
                <w:rFonts w:ascii="宋体" w:hAnsi="宋体" w:cs="宋体"/>
              </w:rPr>
              <w:t>投标人</w:t>
            </w:r>
            <w:r>
              <w:rPr>
                <w:rFonts w:hint="eastAsia" w:ascii="宋体" w:hAnsi="宋体" w:cs="宋体"/>
              </w:rPr>
              <w:t>提供的服务方案每体现一项评审内容得2分，本小项最高得10分。</w:t>
            </w:r>
          </w:p>
        </w:tc>
        <w:tc>
          <w:tcPr>
            <w:tcW w:w="1199" w:type="dxa"/>
            <w:shd w:val="clear" w:color="auto" w:fill="FFFFFF"/>
            <w:vAlign w:val="center"/>
          </w:tcPr>
          <w:p>
            <w:pPr>
              <w:spacing w:line="240" w:lineRule="auto"/>
              <w:jc w:val="center"/>
              <w:rPr>
                <w:rStyle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25" w:hRule="exact"/>
          <w:jc w:val="center"/>
        </w:trPr>
        <w:tc>
          <w:tcPr>
            <w:tcW w:w="1900" w:type="dxa"/>
            <w:shd w:val="clear" w:color="auto" w:fill="FFFFFF"/>
            <w:vAlign w:val="center"/>
          </w:tcPr>
          <w:p>
            <w:pPr>
              <w:adjustRightInd/>
              <w:spacing w:line="360" w:lineRule="auto"/>
              <w:jc w:val="center"/>
              <w:rPr>
                <w:rFonts w:hint="eastAsia"/>
                <w:lang w:eastAsia="zh-CN"/>
              </w:rPr>
            </w:pPr>
            <w:r>
              <w:rPr>
                <w:rFonts w:hint="eastAsia"/>
                <w:lang w:eastAsia="zh-CN"/>
              </w:rPr>
              <w:t>项目业绩</w:t>
            </w:r>
          </w:p>
          <w:p>
            <w:pPr>
              <w:adjustRightInd/>
              <w:spacing w:line="360" w:lineRule="auto"/>
              <w:jc w:val="center"/>
            </w:pPr>
            <w:r>
              <w:rPr>
                <w:rFonts w:hint="eastAsia"/>
              </w:rPr>
              <w:t>（20分）</w:t>
            </w:r>
          </w:p>
        </w:tc>
        <w:tc>
          <w:tcPr>
            <w:tcW w:w="5561" w:type="dxa"/>
            <w:shd w:val="clear" w:color="auto" w:fill="FFFFFF"/>
          </w:tcPr>
          <w:p>
            <w:pPr>
              <w:adjustRightInd/>
              <w:spacing w:line="360" w:lineRule="auto"/>
              <w:jc w:val="both"/>
              <w:textAlignment w:val="auto"/>
              <w:rPr>
                <w:rFonts w:hint="eastAsia" w:ascii="宋体" w:hAnsi="宋体" w:cs="宋体"/>
              </w:rPr>
            </w:pPr>
            <w:r>
              <w:rPr>
                <w:rFonts w:hint="eastAsia" w:ascii="宋体" w:hAnsi="宋体" w:cs="宋体"/>
              </w:rPr>
              <w:t>投标方自2022年1月1日以来（以合同签订日期为准）至今承担或完成同类定点加油服务项目业绩，每提供1份有效业绩得4分，本项最高得20分。</w:t>
            </w:r>
          </w:p>
          <w:p>
            <w:pPr>
              <w:adjustRightInd/>
              <w:spacing w:line="360" w:lineRule="auto"/>
              <w:jc w:val="both"/>
              <w:textAlignment w:val="auto"/>
              <w:rPr>
                <w:rFonts w:hint="eastAsia" w:ascii="宋体" w:hAnsi="宋体" w:cs="宋体"/>
              </w:rPr>
            </w:pPr>
            <w:r>
              <w:rPr>
                <w:rFonts w:hint="eastAsia" w:ascii="宋体" w:hAnsi="宋体" w:cs="宋体"/>
              </w:rPr>
              <w:t>注：</w:t>
            </w:r>
          </w:p>
          <w:p>
            <w:pPr>
              <w:adjustRightInd/>
              <w:spacing w:line="360" w:lineRule="auto"/>
              <w:jc w:val="both"/>
              <w:textAlignment w:val="auto"/>
              <w:rPr>
                <w:rFonts w:hint="eastAsia" w:ascii="宋体" w:hAnsi="宋体" w:cs="宋体"/>
              </w:rPr>
            </w:pPr>
            <w:r>
              <w:rPr>
                <w:rFonts w:hint="eastAsia" w:ascii="宋体" w:hAnsi="宋体" w:cs="宋体"/>
              </w:rPr>
              <w:t>1. 须提供合同关键页复印件并加盖投标人公章，材料至少包含：合同封面、服务内容页、甲乙双方签章页，合同内容须能体现属于定点加油服务项目。</w:t>
            </w:r>
          </w:p>
          <w:p>
            <w:pPr>
              <w:adjustRightInd/>
              <w:spacing w:line="360" w:lineRule="auto"/>
              <w:jc w:val="both"/>
              <w:textAlignment w:val="auto"/>
              <w:rPr>
                <w:rFonts w:ascii="宋体" w:hAnsi="宋体" w:cs="宋体"/>
              </w:rPr>
            </w:pPr>
            <w:r>
              <w:rPr>
                <w:rFonts w:hint="eastAsia" w:ascii="宋体" w:hAnsi="宋体" w:cs="宋体"/>
              </w:rPr>
              <w:t>2. 同一项目分多年签订合同、同一采购项目续签合同的，均只按1份业绩计分，不得重复得分。</w:t>
            </w:r>
          </w:p>
        </w:tc>
        <w:tc>
          <w:tcPr>
            <w:tcW w:w="1199" w:type="dxa"/>
            <w:shd w:val="clear" w:color="auto" w:fill="FFFFFF"/>
            <w:vAlign w:val="center"/>
          </w:tcPr>
          <w:p>
            <w:pPr>
              <w:spacing w:line="360" w:lineRule="auto"/>
              <w:jc w:val="center"/>
              <w:rPr>
                <w:rStyle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42" w:hRule="exact"/>
          <w:jc w:val="center"/>
        </w:trPr>
        <w:tc>
          <w:tcPr>
            <w:tcW w:w="1900" w:type="dxa"/>
            <w:shd w:val="clear" w:color="auto" w:fill="FFFFFF"/>
            <w:vAlign w:val="center"/>
          </w:tcPr>
          <w:p>
            <w:pPr>
              <w:adjustRightInd/>
              <w:spacing w:line="360" w:lineRule="auto"/>
              <w:jc w:val="center"/>
              <w:rPr>
                <w:rFonts w:hint="eastAsia"/>
              </w:rPr>
            </w:pPr>
            <w:r>
              <w:rPr>
                <w:rFonts w:hint="eastAsia"/>
              </w:rPr>
              <w:t>报价</w:t>
            </w:r>
          </w:p>
          <w:p>
            <w:pPr>
              <w:adjustRightInd/>
              <w:spacing w:line="360" w:lineRule="auto"/>
              <w:jc w:val="center"/>
              <w:rPr>
                <w:rFonts w:ascii="宋体" w:hAnsi="宋体" w:cs="宋体"/>
              </w:rPr>
            </w:pPr>
            <w:r>
              <w:rPr>
                <w:rFonts w:hint="eastAsia"/>
                <w:highlight w:val="none"/>
              </w:rPr>
              <w:t>（</w:t>
            </w:r>
            <w:r>
              <w:rPr>
                <w:rFonts w:hint="eastAsia"/>
                <w:highlight w:val="none"/>
                <w:lang w:val="en-US" w:eastAsia="zh-CN"/>
              </w:rPr>
              <w:t>3</w:t>
            </w:r>
            <w:r>
              <w:rPr>
                <w:rFonts w:hint="eastAsia"/>
                <w:highlight w:val="none"/>
              </w:rPr>
              <w:t>0</w:t>
            </w:r>
            <w:r>
              <w:rPr>
                <w:highlight w:val="none"/>
              </w:rPr>
              <w:t>分）</w:t>
            </w:r>
          </w:p>
        </w:tc>
        <w:tc>
          <w:tcPr>
            <w:tcW w:w="5561" w:type="dxa"/>
            <w:shd w:val="clear" w:color="auto" w:fill="FFFFFF"/>
          </w:tcPr>
          <w:p>
            <w:pPr>
              <w:adjustRightInd/>
              <w:spacing w:before="312" w:beforeLines="100" w:line="360" w:lineRule="auto"/>
              <w:jc w:val="both"/>
              <w:textAlignment w:val="auto"/>
              <w:rPr>
                <w:rFonts w:hint="eastAsia" w:ascii="宋体" w:hAnsi="宋体" w:eastAsia="宋体" w:cs="宋体"/>
                <w:lang w:eastAsia="zh-CN"/>
              </w:rPr>
            </w:pPr>
            <w:r>
              <w:rPr>
                <w:rFonts w:ascii="宋体" w:hAnsi="宋体" w:cs="宋体"/>
              </w:rPr>
              <w:t>报价得分=</w:t>
            </w:r>
            <w:r>
              <w:rPr>
                <w:rFonts w:hint="eastAsia" w:ascii="宋体" w:hAnsi="宋体" w:cs="宋体"/>
              </w:rPr>
              <w:t>（每升</w:t>
            </w:r>
            <w:r>
              <w:rPr>
                <w:rFonts w:hint="eastAsia"/>
              </w:rPr>
              <w:t>优惠额度</w:t>
            </w:r>
            <w:r>
              <w:rPr>
                <w:rFonts w:hint="eastAsia" w:ascii="宋体" w:hAnsi="宋体" w:cs="宋体"/>
              </w:rPr>
              <w:t>÷最大每升</w:t>
            </w:r>
            <w:r>
              <w:rPr>
                <w:rFonts w:hint="eastAsia"/>
              </w:rPr>
              <w:t>优惠额度</w:t>
            </w:r>
            <w:r>
              <w:rPr>
                <w:rFonts w:hint="eastAsia" w:ascii="宋体" w:hAnsi="宋体" w:cs="宋体"/>
                <w:sz w:val="21"/>
                <w:szCs w:val="21"/>
              </w:rPr>
              <w:t>）</w:t>
            </w:r>
            <w:r>
              <w:rPr>
                <w:rFonts w:ascii="宋体" w:hAnsi="宋体" w:eastAsia="宋体" w:cs="宋体"/>
                <w:sz w:val="21"/>
                <w:szCs w:val="21"/>
              </w:rPr>
              <w:t>×</w:t>
            </w:r>
            <w:r>
              <w:rPr>
                <w:rFonts w:hint="eastAsia" w:ascii="宋体" w:hAnsi="宋体" w:cs="宋体"/>
                <w:lang w:val="en-US" w:eastAsia="zh-CN"/>
              </w:rPr>
              <w:t>3</w:t>
            </w:r>
            <w:r>
              <w:rPr>
                <w:rFonts w:hint="eastAsia" w:ascii="宋体" w:hAnsi="宋体" w:cs="宋体"/>
              </w:rPr>
              <w:t>0</w:t>
            </w:r>
            <w:r>
              <w:rPr>
                <w:rFonts w:hint="eastAsia" w:ascii="宋体" w:hAnsi="宋体" w:cs="宋体"/>
                <w:lang w:eastAsia="zh-CN"/>
              </w:rPr>
              <w:t>分</w:t>
            </w:r>
          </w:p>
          <w:p>
            <w:pPr>
              <w:pStyle w:val="3"/>
              <w:adjustRightInd/>
              <w:spacing w:line="360" w:lineRule="auto"/>
              <w:jc w:val="both"/>
              <w:rPr>
                <w:rFonts w:hAnsi="宋体" w:cs="宋体"/>
                <w:kern w:val="2"/>
                <w:sz w:val="21"/>
                <w:szCs w:val="21"/>
              </w:rPr>
            </w:pPr>
            <w:r>
              <w:rPr>
                <w:rFonts w:hint="eastAsia" w:hAnsi="宋体" w:cs="宋体"/>
                <w:kern w:val="2"/>
                <w:sz w:val="21"/>
                <w:szCs w:val="21"/>
              </w:rPr>
              <w:t>（1）最大每升</w:t>
            </w:r>
            <w:r>
              <w:rPr>
                <w:rFonts w:hint="eastAsia"/>
              </w:rPr>
              <w:t>优惠额度</w:t>
            </w:r>
            <w:r>
              <w:rPr>
                <w:rFonts w:hint="eastAsia" w:hAnsi="宋体" w:cs="宋体"/>
                <w:kern w:val="2"/>
                <w:sz w:val="21"/>
                <w:szCs w:val="21"/>
              </w:rPr>
              <w:t>为所有投标方</w:t>
            </w:r>
            <w:r>
              <w:rPr>
                <w:rFonts w:hint="eastAsia" w:hAnsi="宋体" w:cs="宋体"/>
                <w:kern w:val="2"/>
                <w:sz w:val="21"/>
                <w:szCs w:val="21"/>
                <w:lang w:eastAsia="zh-CN"/>
              </w:rPr>
              <w:t>所报</w:t>
            </w:r>
            <w:r>
              <w:rPr>
                <w:rFonts w:hint="eastAsia"/>
              </w:rPr>
              <w:t>优惠额度</w:t>
            </w:r>
            <w:r>
              <w:rPr>
                <w:rFonts w:hint="eastAsia"/>
                <w:lang w:eastAsia="zh-CN"/>
              </w:rPr>
              <w:t>中</w:t>
            </w:r>
            <w:r>
              <w:rPr>
                <w:rFonts w:hint="eastAsia" w:hAnsi="宋体" w:cs="宋体"/>
                <w:kern w:val="2"/>
                <w:sz w:val="21"/>
                <w:szCs w:val="21"/>
              </w:rPr>
              <w:t>的最大值。</w:t>
            </w:r>
          </w:p>
          <w:p>
            <w:pPr>
              <w:pStyle w:val="3"/>
              <w:adjustRightInd/>
              <w:spacing w:line="360" w:lineRule="auto"/>
              <w:jc w:val="both"/>
              <w:rPr>
                <w:rFonts w:hAnsi="宋体" w:cs="宋体"/>
                <w:kern w:val="2"/>
                <w:sz w:val="21"/>
                <w:szCs w:val="21"/>
              </w:rPr>
            </w:pPr>
            <w:r>
              <w:rPr>
                <w:rFonts w:hint="eastAsia" w:hAnsi="宋体" w:cs="宋体"/>
                <w:kern w:val="2"/>
                <w:sz w:val="21"/>
                <w:szCs w:val="21"/>
              </w:rPr>
              <w:t>（2）得分计算保留到小数点后1位。</w:t>
            </w:r>
          </w:p>
        </w:tc>
        <w:tc>
          <w:tcPr>
            <w:tcW w:w="1199" w:type="dxa"/>
            <w:shd w:val="clear" w:color="auto" w:fill="FFFFFF"/>
            <w:vAlign w:val="center"/>
          </w:tcPr>
          <w:p>
            <w:pPr>
              <w:spacing w:line="360" w:lineRule="auto"/>
              <w:jc w:val="center"/>
              <w:rPr>
                <w:rStyle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40" w:hRule="exact"/>
          <w:jc w:val="center"/>
        </w:trPr>
        <w:tc>
          <w:tcPr>
            <w:tcW w:w="7461" w:type="dxa"/>
            <w:gridSpan w:val="2"/>
            <w:shd w:val="clear" w:color="auto" w:fill="FFFFFF"/>
            <w:vAlign w:val="center"/>
          </w:tcPr>
          <w:p>
            <w:pPr>
              <w:spacing w:line="360" w:lineRule="auto"/>
              <w:jc w:val="center"/>
              <w:rPr>
                <w:rStyle w:val="20"/>
                <w:lang w:val="en-US"/>
              </w:rPr>
            </w:pPr>
            <w:r>
              <w:rPr>
                <w:rStyle w:val="20"/>
                <w:rFonts w:hint="eastAsia"/>
                <w:lang w:val="en-US"/>
              </w:rPr>
              <w:t>合计（100分）</w:t>
            </w:r>
          </w:p>
        </w:tc>
        <w:tc>
          <w:tcPr>
            <w:tcW w:w="1199" w:type="dxa"/>
            <w:shd w:val="clear" w:color="auto" w:fill="FFFFFF"/>
            <w:vAlign w:val="center"/>
          </w:tcPr>
          <w:p>
            <w:pPr>
              <w:spacing w:line="360" w:lineRule="auto"/>
              <w:jc w:val="center"/>
              <w:rPr>
                <w:rStyle w:val="20"/>
              </w:rPr>
            </w:pPr>
          </w:p>
        </w:tc>
      </w:tr>
    </w:tbl>
    <w:p>
      <w:pPr>
        <w:pStyle w:val="3"/>
      </w:pPr>
    </w:p>
    <w:sectPr>
      <w:pgSz w:w="11906" w:h="16838"/>
      <w:pgMar w:top="720" w:right="720" w:bottom="720" w:left="720" w:header="851" w:footer="992"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ngLiU">
    <w:panose1 w:val="02020509000000000000"/>
    <w:charset w:val="88"/>
    <w:family w:val="modern"/>
    <w:pitch w:val="default"/>
    <w:sig w:usb0="A00002FF" w:usb1="28CFFCFA" w:usb2="00000016" w:usb3="00000000" w:csb0="0010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kNjM5NzI4YjA5OTcxYzU1ZGRhYjQwYTVkYWQwNWUifQ=="/>
    <w:docVar w:name="KGWebUrl" w:val="http://19.121.241.45/seeyon/officeservlet"/>
    <w:docVar w:name="KSO_WPS_MARK_KEY" w:val="9d5e2600-8225-44fd-b9a1-8e967bf6dec2"/>
  </w:docVars>
  <w:rsids>
    <w:rsidRoot w:val="5FDA3E7F"/>
    <w:rsid w:val="00011AAB"/>
    <w:rsid w:val="000149F6"/>
    <w:rsid w:val="00072B4B"/>
    <w:rsid w:val="00075575"/>
    <w:rsid w:val="00086208"/>
    <w:rsid w:val="0009653E"/>
    <w:rsid w:val="000F6568"/>
    <w:rsid w:val="001203DD"/>
    <w:rsid w:val="00130987"/>
    <w:rsid w:val="00141C1F"/>
    <w:rsid w:val="0015444C"/>
    <w:rsid w:val="0016305F"/>
    <w:rsid w:val="00171D34"/>
    <w:rsid w:val="00176F8F"/>
    <w:rsid w:val="001A4FDD"/>
    <w:rsid w:val="001A6DE8"/>
    <w:rsid w:val="001C0525"/>
    <w:rsid w:val="001D0A6F"/>
    <w:rsid w:val="001D1D4C"/>
    <w:rsid w:val="001D32FC"/>
    <w:rsid w:val="001E2477"/>
    <w:rsid w:val="001E5A27"/>
    <w:rsid w:val="001F005E"/>
    <w:rsid w:val="001F7FAF"/>
    <w:rsid w:val="00213E18"/>
    <w:rsid w:val="002440D4"/>
    <w:rsid w:val="00256672"/>
    <w:rsid w:val="00271C46"/>
    <w:rsid w:val="0027528A"/>
    <w:rsid w:val="002A1B32"/>
    <w:rsid w:val="002D5197"/>
    <w:rsid w:val="002F7CD5"/>
    <w:rsid w:val="0031139D"/>
    <w:rsid w:val="003128D6"/>
    <w:rsid w:val="0031665C"/>
    <w:rsid w:val="003305A6"/>
    <w:rsid w:val="00340936"/>
    <w:rsid w:val="00367E9D"/>
    <w:rsid w:val="00375618"/>
    <w:rsid w:val="00391228"/>
    <w:rsid w:val="003D2713"/>
    <w:rsid w:val="003F4D61"/>
    <w:rsid w:val="00410EBE"/>
    <w:rsid w:val="004362A3"/>
    <w:rsid w:val="00436825"/>
    <w:rsid w:val="00436E71"/>
    <w:rsid w:val="00446955"/>
    <w:rsid w:val="004B0DF1"/>
    <w:rsid w:val="004C5413"/>
    <w:rsid w:val="004C7A93"/>
    <w:rsid w:val="004F1366"/>
    <w:rsid w:val="004F60CF"/>
    <w:rsid w:val="00514ABA"/>
    <w:rsid w:val="005202BF"/>
    <w:rsid w:val="005272B6"/>
    <w:rsid w:val="00532A2D"/>
    <w:rsid w:val="00581288"/>
    <w:rsid w:val="005A34CA"/>
    <w:rsid w:val="005B6543"/>
    <w:rsid w:val="005C709C"/>
    <w:rsid w:val="00604D0E"/>
    <w:rsid w:val="00614128"/>
    <w:rsid w:val="00620F92"/>
    <w:rsid w:val="00626FA1"/>
    <w:rsid w:val="00682BCD"/>
    <w:rsid w:val="0068795D"/>
    <w:rsid w:val="00691EE1"/>
    <w:rsid w:val="00693392"/>
    <w:rsid w:val="00694AA8"/>
    <w:rsid w:val="006A0419"/>
    <w:rsid w:val="006B6893"/>
    <w:rsid w:val="006D6701"/>
    <w:rsid w:val="006D6B97"/>
    <w:rsid w:val="006E7315"/>
    <w:rsid w:val="006F6D61"/>
    <w:rsid w:val="00742848"/>
    <w:rsid w:val="0074383E"/>
    <w:rsid w:val="00746C63"/>
    <w:rsid w:val="007527C0"/>
    <w:rsid w:val="00755341"/>
    <w:rsid w:val="0077584C"/>
    <w:rsid w:val="007A3CDA"/>
    <w:rsid w:val="007B05B0"/>
    <w:rsid w:val="007D6EE2"/>
    <w:rsid w:val="007E18D4"/>
    <w:rsid w:val="007F5017"/>
    <w:rsid w:val="008550E0"/>
    <w:rsid w:val="00882A81"/>
    <w:rsid w:val="00884D15"/>
    <w:rsid w:val="008B5178"/>
    <w:rsid w:val="008E3E6D"/>
    <w:rsid w:val="008F6626"/>
    <w:rsid w:val="0090735E"/>
    <w:rsid w:val="00913F34"/>
    <w:rsid w:val="0092540B"/>
    <w:rsid w:val="0092693E"/>
    <w:rsid w:val="00941E3B"/>
    <w:rsid w:val="00955CDE"/>
    <w:rsid w:val="009658AD"/>
    <w:rsid w:val="00970F05"/>
    <w:rsid w:val="00984883"/>
    <w:rsid w:val="009B26B2"/>
    <w:rsid w:val="009D2951"/>
    <w:rsid w:val="009E0EBA"/>
    <w:rsid w:val="00A13B83"/>
    <w:rsid w:val="00A26C31"/>
    <w:rsid w:val="00A359D3"/>
    <w:rsid w:val="00A42A1E"/>
    <w:rsid w:val="00A67672"/>
    <w:rsid w:val="00A918FB"/>
    <w:rsid w:val="00AA1788"/>
    <w:rsid w:val="00AC52C5"/>
    <w:rsid w:val="00AD79DB"/>
    <w:rsid w:val="00B01A83"/>
    <w:rsid w:val="00B17CC6"/>
    <w:rsid w:val="00B27CAF"/>
    <w:rsid w:val="00B4119B"/>
    <w:rsid w:val="00B4439D"/>
    <w:rsid w:val="00B52BF1"/>
    <w:rsid w:val="00B5675C"/>
    <w:rsid w:val="00B614E0"/>
    <w:rsid w:val="00B6735B"/>
    <w:rsid w:val="00B86BA6"/>
    <w:rsid w:val="00C20E22"/>
    <w:rsid w:val="00C2221F"/>
    <w:rsid w:val="00C25867"/>
    <w:rsid w:val="00C305B4"/>
    <w:rsid w:val="00C62620"/>
    <w:rsid w:val="00C63139"/>
    <w:rsid w:val="00C809AA"/>
    <w:rsid w:val="00CC1947"/>
    <w:rsid w:val="00CC673E"/>
    <w:rsid w:val="00CC6EBF"/>
    <w:rsid w:val="00CE3524"/>
    <w:rsid w:val="00CF0E3A"/>
    <w:rsid w:val="00CF3806"/>
    <w:rsid w:val="00D16DD7"/>
    <w:rsid w:val="00D341D0"/>
    <w:rsid w:val="00D42ABC"/>
    <w:rsid w:val="00D87D55"/>
    <w:rsid w:val="00D94F86"/>
    <w:rsid w:val="00DA567B"/>
    <w:rsid w:val="00DA7D8F"/>
    <w:rsid w:val="00DB56C0"/>
    <w:rsid w:val="00DC2B0B"/>
    <w:rsid w:val="00DC6FBF"/>
    <w:rsid w:val="00DD2B4D"/>
    <w:rsid w:val="00DD5414"/>
    <w:rsid w:val="00DE486F"/>
    <w:rsid w:val="00DF4637"/>
    <w:rsid w:val="00E0231C"/>
    <w:rsid w:val="00E302E1"/>
    <w:rsid w:val="00E52328"/>
    <w:rsid w:val="00E600FE"/>
    <w:rsid w:val="00E61E72"/>
    <w:rsid w:val="00E825ED"/>
    <w:rsid w:val="00EA1092"/>
    <w:rsid w:val="00EA1FC0"/>
    <w:rsid w:val="00EB2796"/>
    <w:rsid w:val="00EF0ED9"/>
    <w:rsid w:val="00EF2FF6"/>
    <w:rsid w:val="00F01D7F"/>
    <w:rsid w:val="00F04171"/>
    <w:rsid w:val="00F100E0"/>
    <w:rsid w:val="00F37F64"/>
    <w:rsid w:val="00F72AD7"/>
    <w:rsid w:val="00FA28E2"/>
    <w:rsid w:val="00FD157E"/>
    <w:rsid w:val="052D6C99"/>
    <w:rsid w:val="053E25DD"/>
    <w:rsid w:val="055F12F0"/>
    <w:rsid w:val="06077E6F"/>
    <w:rsid w:val="06F14A10"/>
    <w:rsid w:val="07F31225"/>
    <w:rsid w:val="07F92E63"/>
    <w:rsid w:val="084D1FF9"/>
    <w:rsid w:val="099F7B11"/>
    <w:rsid w:val="0B432F4B"/>
    <w:rsid w:val="0C2D286F"/>
    <w:rsid w:val="0E823830"/>
    <w:rsid w:val="0F7C39B0"/>
    <w:rsid w:val="10304E04"/>
    <w:rsid w:val="10E549A1"/>
    <w:rsid w:val="133E4C87"/>
    <w:rsid w:val="14DC4224"/>
    <w:rsid w:val="16201708"/>
    <w:rsid w:val="1C212B1F"/>
    <w:rsid w:val="1C4226C5"/>
    <w:rsid w:val="1DC5035B"/>
    <w:rsid w:val="1F4C5CAB"/>
    <w:rsid w:val="1F85690D"/>
    <w:rsid w:val="211C3D4C"/>
    <w:rsid w:val="252561EE"/>
    <w:rsid w:val="255B30EF"/>
    <w:rsid w:val="270237C3"/>
    <w:rsid w:val="281D3002"/>
    <w:rsid w:val="294F4B81"/>
    <w:rsid w:val="2B8A3E01"/>
    <w:rsid w:val="2D5532AE"/>
    <w:rsid w:val="2F1422BD"/>
    <w:rsid w:val="2FAC7A81"/>
    <w:rsid w:val="303D52BB"/>
    <w:rsid w:val="32D56BB5"/>
    <w:rsid w:val="36CD3EFD"/>
    <w:rsid w:val="37896B48"/>
    <w:rsid w:val="380A3B51"/>
    <w:rsid w:val="38240D97"/>
    <w:rsid w:val="38647A3B"/>
    <w:rsid w:val="3884708A"/>
    <w:rsid w:val="39A14F85"/>
    <w:rsid w:val="39D07CE9"/>
    <w:rsid w:val="3BC95DA1"/>
    <w:rsid w:val="3BDB4E6B"/>
    <w:rsid w:val="3C2D6FA3"/>
    <w:rsid w:val="3CFB6F84"/>
    <w:rsid w:val="3D853669"/>
    <w:rsid w:val="3FCF511D"/>
    <w:rsid w:val="422061F9"/>
    <w:rsid w:val="425139E4"/>
    <w:rsid w:val="49C425C9"/>
    <w:rsid w:val="4C427A12"/>
    <w:rsid w:val="4C6C1B33"/>
    <w:rsid w:val="520143BB"/>
    <w:rsid w:val="5211523C"/>
    <w:rsid w:val="5259005C"/>
    <w:rsid w:val="53024959"/>
    <w:rsid w:val="53626B0C"/>
    <w:rsid w:val="55FA2478"/>
    <w:rsid w:val="58D304A6"/>
    <w:rsid w:val="590B454D"/>
    <w:rsid w:val="595A40EE"/>
    <w:rsid w:val="59BA4C4C"/>
    <w:rsid w:val="5A7B1263"/>
    <w:rsid w:val="5C9D4E93"/>
    <w:rsid w:val="5EF3790D"/>
    <w:rsid w:val="5FDA3E7F"/>
    <w:rsid w:val="62230D10"/>
    <w:rsid w:val="62E123C8"/>
    <w:rsid w:val="65EB75CC"/>
    <w:rsid w:val="693E7026"/>
    <w:rsid w:val="724A3704"/>
    <w:rsid w:val="724E3EEE"/>
    <w:rsid w:val="72806BDC"/>
    <w:rsid w:val="72BF19FC"/>
    <w:rsid w:val="735510FF"/>
    <w:rsid w:val="73BA21C4"/>
    <w:rsid w:val="74B904F6"/>
    <w:rsid w:val="75510906"/>
    <w:rsid w:val="76FC2CDD"/>
    <w:rsid w:val="7762625C"/>
    <w:rsid w:val="7A941B60"/>
    <w:rsid w:val="7B8C3E54"/>
    <w:rsid w:val="7C15268D"/>
    <w:rsid w:val="7FC71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kern w:val="2"/>
      <w:sz w:val="21"/>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style>
  <w:style w:type="paragraph" w:styleId="3">
    <w:name w:val="Plain Text"/>
    <w:basedOn w:val="1"/>
    <w:qFormat/>
    <w:uiPriority w:val="0"/>
    <w:rPr>
      <w:rFonts w:ascii="宋体" w:hAnsi="Courier New"/>
      <w:kern w:val="0"/>
      <w:sz w:val="20"/>
      <w:szCs w:val="20"/>
    </w:rPr>
  </w:style>
  <w:style w:type="paragraph" w:styleId="4">
    <w:name w:val="Balloon Text"/>
    <w:basedOn w:val="1"/>
    <w:link w:val="15"/>
    <w:qFormat/>
    <w:uiPriority w:val="0"/>
    <w:pPr>
      <w:spacing w:line="240" w:lineRule="auto"/>
    </w:pPr>
    <w:rPr>
      <w:sz w:val="18"/>
      <w:szCs w:val="18"/>
    </w:rPr>
  </w:style>
  <w:style w:type="paragraph" w:styleId="5">
    <w:name w:val="footer"/>
    <w:basedOn w:val="1"/>
    <w:link w:val="17"/>
    <w:qFormat/>
    <w:uiPriority w:val="0"/>
    <w:pPr>
      <w:tabs>
        <w:tab w:val="center" w:pos="4153"/>
        <w:tab w:val="right" w:pos="8306"/>
      </w:tabs>
      <w:snapToGrid w:val="0"/>
      <w:spacing w:line="240" w:lineRule="atLeas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2"/>
    <w:next w:val="2"/>
    <w:link w:val="14"/>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qFormat/>
    <w:uiPriority w:val="0"/>
    <w:rPr>
      <w:sz w:val="21"/>
      <w:szCs w:val="21"/>
    </w:rPr>
  </w:style>
  <w:style w:type="character" w:customStyle="1" w:styleId="12">
    <w:name w:val="正文文本 (2) + 间距 0 pt3"/>
    <w:qFormat/>
    <w:uiPriority w:val="99"/>
    <w:rPr>
      <w:rFonts w:ascii="MingLiU" w:eastAsia="MingLiU" w:cs="MingLiU"/>
      <w:spacing w:val="0"/>
      <w:sz w:val="22"/>
      <w:szCs w:val="22"/>
      <w:u w:val="none"/>
    </w:rPr>
  </w:style>
  <w:style w:type="character" w:customStyle="1" w:styleId="13">
    <w:name w:val="批注文字 Char"/>
    <w:link w:val="2"/>
    <w:qFormat/>
    <w:uiPriority w:val="0"/>
    <w:rPr>
      <w:kern w:val="2"/>
      <w:sz w:val="21"/>
      <w:szCs w:val="21"/>
    </w:rPr>
  </w:style>
  <w:style w:type="character" w:customStyle="1" w:styleId="14">
    <w:name w:val="批注主题 Char"/>
    <w:link w:val="7"/>
    <w:qFormat/>
    <w:uiPriority w:val="0"/>
    <w:rPr>
      <w:b/>
      <w:bCs/>
      <w:kern w:val="2"/>
      <w:sz w:val="21"/>
      <w:szCs w:val="21"/>
    </w:rPr>
  </w:style>
  <w:style w:type="character" w:customStyle="1" w:styleId="15">
    <w:name w:val="批注框文本 Char"/>
    <w:link w:val="4"/>
    <w:qFormat/>
    <w:uiPriority w:val="0"/>
    <w:rPr>
      <w:kern w:val="2"/>
      <w:sz w:val="18"/>
      <w:szCs w:val="18"/>
    </w:rPr>
  </w:style>
  <w:style w:type="character" w:customStyle="1" w:styleId="16">
    <w:name w:val="页眉 Char"/>
    <w:link w:val="6"/>
    <w:qFormat/>
    <w:uiPriority w:val="0"/>
    <w:rPr>
      <w:kern w:val="2"/>
      <w:sz w:val="18"/>
      <w:szCs w:val="18"/>
    </w:rPr>
  </w:style>
  <w:style w:type="character" w:customStyle="1" w:styleId="17">
    <w:name w:val="页脚 Char"/>
    <w:link w:val="5"/>
    <w:qFormat/>
    <w:uiPriority w:val="0"/>
    <w:rPr>
      <w:kern w:val="2"/>
      <w:sz w:val="18"/>
      <w:szCs w:val="18"/>
    </w:rPr>
  </w:style>
  <w:style w:type="character" w:customStyle="1" w:styleId="18">
    <w:name w:val="fontstyle01"/>
    <w:qFormat/>
    <w:uiPriority w:val="0"/>
    <w:rPr>
      <w:rFonts w:hint="eastAsia" w:ascii="宋体" w:hAnsi="宋体" w:eastAsia="宋体"/>
      <w:color w:val="000000"/>
      <w:sz w:val="22"/>
      <w:szCs w:val="22"/>
    </w:rPr>
  </w:style>
  <w:style w:type="character" w:styleId="19">
    <w:name w:val="Placeholder Text"/>
    <w:basedOn w:val="10"/>
    <w:unhideWhenUsed/>
    <w:qFormat/>
    <w:uiPriority w:val="99"/>
    <w:rPr>
      <w:color w:val="808080"/>
    </w:rPr>
  </w:style>
  <w:style w:type="character" w:customStyle="1" w:styleId="20">
    <w:name w:val="正文文本 (2)"/>
    <w:basedOn w:val="10"/>
    <w:qFormat/>
    <w:uiPriority w:val="0"/>
    <w:rPr>
      <w:rFonts w:ascii="宋体" w:hAnsi="宋体" w:eastAsia="宋体" w:cs="宋体"/>
      <w:color w:val="000000"/>
      <w:spacing w:val="10"/>
      <w:w w:val="100"/>
      <w:position w:val="0"/>
      <w:sz w:val="22"/>
      <w:szCs w:val="22"/>
      <w:u w:val="none"/>
      <w:lang w:val="zh-CN" w:eastAsia="zh-CN" w:bidi="zh-CN"/>
    </w:rPr>
  </w:style>
  <w:style w:type="paragraph" w:customStyle="1" w:styleId="21">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6AFC6B-AF0C-4692-8406-31D37BB3EA62}">
  <ds:schemaRefs/>
</ds:datastoreItem>
</file>

<file path=docProps/app.xml><?xml version="1.0" encoding="utf-8"?>
<Properties xmlns="http://schemas.openxmlformats.org/officeDocument/2006/extended-properties" xmlns:vt="http://schemas.openxmlformats.org/officeDocument/2006/docPropsVTypes">
  <Template>Normal</Template>
  <Company>江门市公路局</Company>
  <Pages>4</Pages>
  <Words>1415</Words>
  <Characters>1461</Characters>
  <Lines>1</Lines>
  <Paragraphs>2</Paragraphs>
  <TotalTime>4</TotalTime>
  <ScaleCrop>false</ScaleCrop>
  <LinksUpToDate>false</LinksUpToDate>
  <CharactersWithSpaces>1494</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2024-08-15T10:06:00Z</dcterms:created>
  <dc:creator>区展锴</dc:creator>
  <cp:lastModifiedBy>uos</cp:lastModifiedBy>
  <cp:lastPrinted>2024-06-25T15:42:00Z</cp:lastPrinted>
  <dcterms:modified xsi:type="dcterms:W3CDTF">2026-10-27T11:00:18Z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366643D950BC4AFF962BA1E5E68284EF</vt:lpwstr>
  </property>
  <property fmtid="{D5CDD505-2E9C-101B-9397-08002B2CF9AE}" pid="4" name="KSOTemplateDocerSaveRecord">
    <vt:lpwstr>eyJoZGlkIjoiOTZiYzBkZTEzNDg0MzZlZTllN2Y5YWJiNjU5ZTAyYTQiLCJ1c2VySWQiOiIxMDE0Njk5NDE1In0=</vt:lpwstr>
  </property>
</Properties>
</file>