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CEE74B">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lang w:eastAsia="zh-CN"/>
        </w:rPr>
        <w:t>江门市农业科技创新中心</w:t>
      </w:r>
      <w:r>
        <w:rPr>
          <w:rFonts w:hint="eastAsia" w:ascii="方正小标宋简体" w:hAnsi="方正小标宋简体" w:eastAsia="方正小标宋简体" w:cs="方正小标宋简体"/>
          <w:color w:val="auto"/>
          <w:sz w:val="44"/>
          <w:szCs w:val="44"/>
        </w:rPr>
        <w:t>公务用车</w:t>
      </w:r>
    </w:p>
    <w:p w14:paraId="23B1B10D">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2026-202</w:t>
      </w:r>
      <w:r>
        <w:rPr>
          <w:rFonts w:hint="eastAsia" w:ascii="方正小标宋简体" w:hAnsi="方正小标宋简体" w:eastAsia="方正小标宋简体" w:cs="方正小标宋简体"/>
          <w:color w:val="auto"/>
          <w:sz w:val="44"/>
          <w:szCs w:val="44"/>
          <w:lang w:val="en-US" w:eastAsia="zh-CN"/>
        </w:rPr>
        <w:t>7</w:t>
      </w:r>
      <w:r>
        <w:rPr>
          <w:rFonts w:hint="eastAsia" w:ascii="方正小标宋简体" w:hAnsi="方正小标宋简体" w:eastAsia="方正小标宋简体" w:cs="方正小标宋简体"/>
          <w:color w:val="auto"/>
          <w:sz w:val="44"/>
          <w:szCs w:val="44"/>
        </w:rPr>
        <w:t>年度定点维修保养服务</w:t>
      </w:r>
    </w:p>
    <w:p w14:paraId="2222E26F">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项目采购公告</w:t>
      </w:r>
    </w:p>
    <w:p w14:paraId="1CDD0DD4">
      <w:pPr>
        <w:rPr>
          <w:color w:val="auto"/>
        </w:rPr>
      </w:pPr>
    </w:p>
    <w:p w14:paraId="3DE17682">
      <w:pPr>
        <w:rPr>
          <w:color w:val="auto"/>
        </w:rPr>
      </w:pPr>
    </w:p>
    <w:p w14:paraId="7C8D2BD6">
      <w:pPr>
        <w:ind w:firstLine="640" w:firstLineChars="200"/>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根据《中华人民共和国政府采购法》、《中华人民共和国政府采购法实施条例》等有关法律、法规和规章的规定，</w:t>
      </w:r>
      <w:r>
        <w:rPr>
          <w:rFonts w:hint="eastAsia" w:ascii="方正仿宋_GB2312" w:hAnsi="方正仿宋_GB2312" w:eastAsia="方正仿宋_GB2312" w:cs="方正仿宋_GB2312"/>
          <w:color w:val="auto"/>
          <w:sz w:val="32"/>
          <w:szCs w:val="32"/>
          <w:lang w:eastAsia="zh-CN"/>
        </w:rPr>
        <w:t>江门市农业科技创新中心</w:t>
      </w:r>
      <w:r>
        <w:rPr>
          <w:rFonts w:hint="eastAsia" w:ascii="方正仿宋_GB2312" w:hAnsi="方正仿宋_GB2312" w:eastAsia="方正仿宋_GB2312" w:cs="方正仿宋_GB2312"/>
          <w:color w:val="auto"/>
          <w:sz w:val="32"/>
          <w:szCs w:val="32"/>
        </w:rPr>
        <w:t>对2026-202</w:t>
      </w:r>
      <w:r>
        <w:rPr>
          <w:rFonts w:hint="eastAsia" w:ascii="方正仿宋_GB2312" w:hAnsi="方正仿宋_GB2312" w:eastAsia="方正仿宋_GB2312" w:cs="方正仿宋_GB2312"/>
          <w:color w:val="auto"/>
          <w:sz w:val="32"/>
          <w:szCs w:val="32"/>
          <w:lang w:val="en-US" w:eastAsia="zh-CN"/>
        </w:rPr>
        <w:t>7</w:t>
      </w:r>
      <w:r>
        <w:rPr>
          <w:rFonts w:hint="eastAsia" w:ascii="方正仿宋_GB2312" w:hAnsi="方正仿宋_GB2312" w:eastAsia="方正仿宋_GB2312" w:cs="方正仿宋_GB2312"/>
          <w:color w:val="auto"/>
          <w:sz w:val="32"/>
          <w:szCs w:val="32"/>
        </w:rPr>
        <w:t>年度公务用车定点维修保养服务进行公开</w:t>
      </w:r>
      <w:r>
        <w:rPr>
          <w:rFonts w:hint="eastAsia" w:ascii="方正仿宋_GB2312" w:hAnsi="方正仿宋_GB2312" w:eastAsia="方正仿宋_GB2312" w:cs="方正仿宋_GB2312"/>
          <w:color w:val="auto"/>
          <w:sz w:val="32"/>
          <w:szCs w:val="32"/>
          <w:lang w:eastAsia="zh-CN"/>
        </w:rPr>
        <w:t>采购</w:t>
      </w:r>
      <w:r>
        <w:rPr>
          <w:rFonts w:hint="eastAsia" w:ascii="方正仿宋_GB2312" w:hAnsi="方正仿宋_GB2312" w:eastAsia="方正仿宋_GB2312" w:cs="方正仿宋_GB2312"/>
          <w:color w:val="auto"/>
          <w:sz w:val="32"/>
          <w:szCs w:val="32"/>
        </w:rPr>
        <w:t>，欢迎符合条件的服务供应商报名。</w:t>
      </w:r>
    </w:p>
    <w:p w14:paraId="4EBC7605">
      <w:pPr>
        <w:ind w:firstLine="640" w:firstLineChars="200"/>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一、项目名称</w:t>
      </w:r>
    </w:p>
    <w:p w14:paraId="11287DA5">
      <w:pPr>
        <w:ind w:firstLine="640" w:firstLineChars="200"/>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eastAsia="zh-CN"/>
        </w:rPr>
        <w:t>江门市农业科技创新中心</w:t>
      </w:r>
      <w:r>
        <w:rPr>
          <w:rFonts w:hint="eastAsia" w:ascii="方正仿宋_GB2312" w:hAnsi="方正仿宋_GB2312" w:eastAsia="方正仿宋_GB2312" w:cs="方正仿宋_GB2312"/>
          <w:color w:val="auto"/>
          <w:sz w:val="32"/>
          <w:szCs w:val="32"/>
        </w:rPr>
        <w:t>2026-202</w:t>
      </w:r>
      <w:r>
        <w:rPr>
          <w:rFonts w:hint="eastAsia" w:ascii="方正仿宋_GB2312" w:hAnsi="方正仿宋_GB2312" w:eastAsia="方正仿宋_GB2312" w:cs="方正仿宋_GB2312"/>
          <w:color w:val="auto"/>
          <w:sz w:val="32"/>
          <w:szCs w:val="32"/>
          <w:lang w:val="en-US" w:eastAsia="zh-CN"/>
        </w:rPr>
        <w:t>7</w:t>
      </w:r>
      <w:r>
        <w:rPr>
          <w:rFonts w:hint="eastAsia" w:ascii="方正仿宋_GB2312" w:hAnsi="方正仿宋_GB2312" w:eastAsia="方正仿宋_GB2312" w:cs="方正仿宋_GB2312"/>
          <w:color w:val="auto"/>
          <w:sz w:val="32"/>
          <w:szCs w:val="32"/>
        </w:rPr>
        <w:t>年度公务用车定点维修保养服务项目</w:t>
      </w:r>
    </w:p>
    <w:p w14:paraId="46360CCA">
      <w:pPr>
        <w:ind w:firstLine="640" w:firstLineChars="200"/>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二、供应商资格要求</w:t>
      </w:r>
    </w:p>
    <w:p w14:paraId="3539DD7D">
      <w:pPr>
        <w:ind w:firstLine="640" w:firstLineChars="200"/>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（一）具备《中华人民共和国政府采购法》第二十二条及《中华人民共和国政府采购法实施条例》第十七条的规定的条件。</w:t>
      </w:r>
    </w:p>
    <w:p w14:paraId="4D60D68E">
      <w:pPr>
        <w:ind w:firstLine="640" w:firstLineChars="200"/>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（二）具有监管部门批准的营业执照且营业范围涵盖该项目。</w:t>
      </w:r>
    </w:p>
    <w:p w14:paraId="29EA0B8C">
      <w:pPr>
        <w:ind w:firstLine="640" w:firstLineChars="200"/>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（三）具有独立承担民事责任及完成本项目合同的能力。</w:t>
      </w:r>
    </w:p>
    <w:p w14:paraId="11B9F934">
      <w:pPr>
        <w:ind w:firstLine="640" w:firstLineChars="200"/>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（四）近三年内未被列入失信被执行人名单、重大税收违法案件当事人名单、政府采购严重违法失信行为记录名单，无受到政府采购行政处罚且相关信用惩戒期限未满情形。</w:t>
      </w:r>
    </w:p>
    <w:p w14:paraId="2230C87B">
      <w:pPr>
        <w:ind w:firstLine="640" w:firstLineChars="200"/>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（五）本项目不接受联合体投标，不接受转包、分包。</w:t>
      </w:r>
    </w:p>
    <w:p w14:paraId="065D3945">
      <w:pPr>
        <w:ind w:firstLine="640" w:firstLineChars="200"/>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三、项目服务内容及要求</w:t>
      </w:r>
    </w:p>
    <w:p w14:paraId="42F06E0E">
      <w:pPr>
        <w:ind w:firstLine="640" w:firstLineChars="200"/>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（一）服务内容</w:t>
      </w:r>
    </w:p>
    <w:p w14:paraId="26813A70">
      <w:pPr>
        <w:ind w:firstLine="640" w:firstLineChars="200"/>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对</w:t>
      </w:r>
      <w:r>
        <w:rPr>
          <w:rFonts w:hint="eastAsia" w:ascii="方正仿宋_GB2312" w:hAnsi="方正仿宋_GB2312" w:eastAsia="方正仿宋_GB2312" w:cs="方正仿宋_GB2312"/>
          <w:color w:val="auto"/>
          <w:sz w:val="32"/>
          <w:szCs w:val="32"/>
          <w:lang w:eastAsia="zh-CN"/>
        </w:rPr>
        <w:t>江门市农业科技创新中心</w:t>
      </w:r>
      <w:r>
        <w:rPr>
          <w:rFonts w:hint="eastAsia" w:ascii="方正仿宋_GB2312" w:hAnsi="方正仿宋_GB2312" w:eastAsia="方正仿宋_GB2312" w:cs="方正仿宋_GB2312"/>
          <w:color w:val="auto"/>
          <w:sz w:val="32"/>
          <w:szCs w:val="32"/>
        </w:rPr>
        <w:t>公务用车进行日常维护、一级维护、二级维护、汽车小修、汽车大修、总成修理、汽车专项修理、二十四小时响应拖车和其他有关的汽车维修保养服务等。</w:t>
      </w:r>
    </w:p>
    <w:p w14:paraId="1FBD15D6">
      <w:pPr>
        <w:ind w:firstLine="640" w:firstLineChars="200"/>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w:t>
      </w:r>
      <w:r>
        <w:rPr>
          <w:rFonts w:hint="eastAsia" w:ascii="方正仿宋_GB2312" w:hAnsi="方正仿宋_GB2312" w:eastAsia="方正仿宋_GB2312" w:cs="方正仿宋_GB2312"/>
          <w:color w:val="auto"/>
          <w:sz w:val="32"/>
          <w:szCs w:val="32"/>
          <w:lang w:val="en-US" w:eastAsia="zh-CN"/>
        </w:rPr>
        <w:t>二</w:t>
      </w:r>
      <w:r>
        <w:rPr>
          <w:rFonts w:hint="eastAsia" w:ascii="方正仿宋_GB2312" w:hAnsi="方正仿宋_GB2312" w:eastAsia="方正仿宋_GB2312" w:cs="方正仿宋_GB2312"/>
          <w:color w:val="auto"/>
          <w:sz w:val="32"/>
          <w:szCs w:val="32"/>
        </w:rPr>
        <w:t>）预算金额</w:t>
      </w:r>
    </w:p>
    <w:p w14:paraId="70FE3D0D">
      <w:pPr>
        <w:ind w:firstLine="640" w:firstLineChars="200"/>
        <w:rPr>
          <w:rFonts w:hint="eastAsia" w:ascii="方正仿宋_GB2312" w:hAnsi="方正仿宋_GB2312" w:eastAsia="方正仿宋_GB2312" w:cs="方正仿宋_GB2312"/>
          <w:color w:val="auto"/>
          <w:sz w:val="32"/>
          <w:szCs w:val="32"/>
          <w:lang w:eastAsia="zh-CN"/>
        </w:rPr>
      </w:pPr>
      <w:r>
        <w:rPr>
          <w:rFonts w:hint="eastAsia" w:ascii="方正仿宋_GB2312" w:hAnsi="方正仿宋_GB2312" w:eastAsia="方正仿宋_GB2312" w:cs="方正仿宋_GB2312"/>
          <w:color w:val="auto"/>
          <w:sz w:val="32"/>
          <w:szCs w:val="32"/>
        </w:rPr>
        <w:t>5万元以内据实结算（含税）。最近两年度实际费用约3.2万元（仅供参考）</w:t>
      </w:r>
      <w:r>
        <w:rPr>
          <w:rFonts w:hint="eastAsia" w:ascii="方正仿宋_GB2312" w:hAnsi="方正仿宋_GB2312" w:eastAsia="方正仿宋_GB2312" w:cs="方正仿宋_GB2312"/>
          <w:color w:val="auto"/>
          <w:sz w:val="32"/>
          <w:szCs w:val="32"/>
          <w:lang w:eastAsia="zh-CN"/>
        </w:rPr>
        <w:t>。</w:t>
      </w:r>
    </w:p>
    <w:p w14:paraId="7243EBBA">
      <w:pPr>
        <w:ind w:firstLine="640" w:firstLineChars="200"/>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w:t>
      </w:r>
      <w:r>
        <w:rPr>
          <w:rFonts w:hint="eastAsia" w:ascii="方正仿宋_GB2312" w:hAnsi="方正仿宋_GB2312" w:eastAsia="方正仿宋_GB2312" w:cs="方正仿宋_GB2312"/>
          <w:color w:val="auto"/>
          <w:sz w:val="32"/>
          <w:szCs w:val="32"/>
          <w:lang w:val="en-US" w:eastAsia="zh-CN"/>
        </w:rPr>
        <w:t>三</w:t>
      </w:r>
      <w:r>
        <w:rPr>
          <w:rFonts w:hint="eastAsia" w:ascii="方正仿宋_GB2312" w:hAnsi="方正仿宋_GB2312" w:eastAsia="方正仿宋_GB2312" w:cs="方正仿宋_GB2312"/>
          <w:color w:val="auto"/>
          <w:sz w:val="32"/>
          <w:szCs w:val="32"/>
        </w:rPr>
        <w:t>）服务期限</w:t>
      </w:r>
    </w:p>
    <w:p w14:paraId="00D122C0">
      <w:pPr>
        <w:ind w:firstLine="640" w:firstLineChars="200"/>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服务期限以甲乙双方实际签订</w:t>
      </w:r>
      <w:r>
        <w:rPr>
          <w:rFonts w:hint="eastAsia" w:ascii="方正仿宋_GB2312" w:hAnsi="方正仿宋_GB2312" w:eastAsia="方正仿宋_GB2312" w:cs="方正仿宋_GB2312"/>
          <w:color w:val="auto"/>
          <w:sz w:val="32"/>
          <w:szCs w:val="32"/>
          <w:lang w:val="en-US" w:eastAsia="zh-CN"/>
        </w:rPr>
        <w:t>服务</w:t>
      </w:r>
      <w:r>
        <w:rPr>
          <w:rFonts w:hint="eastAsia" w:ascii="方正仿宋_GB2312" w:hAnsi="方正仿宋_GB2312" w:eastAsia="方正仿宋_GB2312" w:cs="方正仿宋_GB2312"/>
          <w:color w:val="auto"/>
          <w:sz w:val="32"/>
          <w:szCs w:val="32"/>
        </w:rPr>
        <w:t>合同之日起计算，服务时长 2 年。</w:t>
      </w:r>
    </w:p>
    <w:p w14:paraId="779AB55B">
      <w:pPr>
        <w:ind w:firstLine="640" w:firstLineChars="200"/>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w:t>
      </w:r>
      <w:r>
        <w:rPr>
          <w:rFonts w:hint="eastAsia" w:ascii="方正仿宋_GB2312" w:hAnsi="方正仿宋_GB2312" w:eastAsia="方正仿宋_GB2312" w:cs="方正仿宋_GB2312"/>
          <w:color w:val="auto"/>
          <w:sz w:val="32"/>
          <w:szCs w:val="32"/>
          <w:lang w:val="en-US" w:eastAsia="zh-CN"/>
        </w:rPr>
        <w:t>四</w:t>
      </w:r>
      <w:r>
        <w:rPr>
          <w:rFonts w:hint="eastAsia" w:ascii="方正仿宋_GB2312" w:hAnsi="方正仿宋_GB2312" w:eastAsia="方正仿宋_GB2312" w:cs="方正仿宋_GB2312"/>
          <w:color w:val="auto"/>
          <w:sz w:val="32"/>
          <w:szCs w:val="32"/>
        </w:rPr>
        <w:t>）服务要求</w:t>
      </w:r>
    </w:p>
    <w:p w14:paraId="38614704">
      <w:pPr>
        <w:ind w:firstLine="640" w:firstLineChars="200"/>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1.投标人须在江门市蓬江区具有固定维修场所，店面符合国家规定的安全标准，厂区整洁，修理车间布局合理、车间设施良好、修理工位标示明确。汽车维修车间整洁、干净，汽修维修流程环节清楚、合理、有序，能够提供文明、舒适的休息环境，修理场所面积应不小于</w:t>
      </w:r>
      <w:r>
        <w:rPr>
          <w:rFonts w:hint="eastAsia" w:ascii="方正仿宋_GB2312" w:hAnsi="方正仿宋_GB2312" w:eastAsia="方正仿宋_GB2312" w:cs="方正仿宋_GB2312"/>
          <w:color w:val="auto"/>
          <w:sz w:val="32"/>
          <w:szCs w:val="32"/>
          <w:lang w:val="en-US" w:eastAsia="zh-CN"/>
        </w:rPr>
        <w:t>3</w:t>
      </w:r>
      <w:r>
        <w:rPr>
          <w:rFonts w:hint="eastAsia" w:ascii="方正仿宋_GB2312" w:hAnsi="方正仿宋_GB2312" w:eastAsia="方正仿宋_GB2312" w:cs="方正仿宋_GB2312"/>
          <w:color w:val="auto"/>
          <w:sz w:val="32"/>
          <w:szCs w:val="32"/>
        </w:rPr>
        <w:t>00平方米。</w:t>
      </w:r>
    </w:p>
    <w:p w14:paraId="24C008B0">
      <w:pPr>
        <w:ind w:firstLine="640" w:firstLineChars="200"/>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2.维修所采用的零部件、配件等材料必须是符合国家或部颁标准的新件，必须有合法的进货渠道，不得使用假冒伪劣产品或以次充好，以旧代新。经送修人同意，可以采用替代或旧件，但维修企业必须事先告知送修人且保证修理后车辆可正常行驶，且在材料报价及结算清单中加以注明，否则不得采用替代件或旧件；可以修复的部件，不得以换代修。</w:t>
      </w:r>
    </w:p>
    <w:p w14:paraId="7C967BA9">
      <w:pPr>
        <w:ind w:firstLine="640" w:firstLineChars="200"/>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3.车辆的维修必须符合国家和省、市有关主管部门颁发的汽车维修质量管理办法和执行标准。</w:t>
      </w:r>
    </w:p>
    <w:p w14:paraId="4F3526F3">
      <w:pPr>
        <w:ind w:firstLine="640" w:firstLineChars="200"/>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4. 日常运作（接车、维修、交车、结算、投诉、索赔）要做到规范化、制度化，实行定人定岗，严格落实岗位责任制度。接受委托维修时，维修项目和维修费用都必须由送修单位签名认可，企业在标价时，应编制维修项目明细表，确保送修单位对维修内容及其细节的知情权。严格按照交车时限来安排维修服务，不能在规定时限内交车的，要提前与送修单位联系，取得送修单位的同意。检验人员必须在现场对车辆进行诊断，初步确定维修项目，并要充分征求送修单位的意见。业务员制作估价单后，应详细向送修单位说明维修的项目、作业的内容、配件的来源渠道及价格、维修时间和维修费用。</w:t>
      </w:r>
    </w:p>
    <w:p w14:paraId="11DCEBFB">
      <w:pPr>
        <w:ind w:firstLine="640" w:firstLineChars="200"/>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5.中标供应商应优惠报价，维修项目的增加要经采购人同意方可实施，中标供应商需优先对采购人的故障车辆进行维修。</w:t>
      </w:r>
    </w:p>
    <w:p w14:paraId="53F08F43">
      <w:pPr>
        <w:ind w:firstLine="640" w:firstLineChars="200"/>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6.中标供应商应对采购人作出服务承诺，并在中标后严格执行。</w:t>
      </w:r>
    </w:p>
    <w:p w14:paraId="04FAA069">
      <w:pPr>
        <w:ind w:firstLine="640" w:firstLineChars="200"/>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7.中标供应商应具备能建立完整的车辆维修档案，并每季度向采购人提供维修技术档案的能力。必须接受、配合采购人开展相关核查工作。</w:t>
      </w:r>
    </w:p>
    <w:p w14:paraId="7578B7CA">
      <w:pPr>
        <w:ind w:firstLine="640" w:firstLineChars="200"/>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8.中标供应商应将每月的车辆维修服务统计表于下月的 5 日前向采购人送达。</w:t>
      </w:r>
    </w:p>
    <w:p w14:paraId="6A7CB942">
      <w:pPr>
        <w:ind w:firstLine="640" w:firstLineChars="200"/>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9.中标供应商所报的材料管理费率，外加工管理费率，工时单价在合同执行期间是固定不变的，不得以任何理由予以变更。投标价不是固定价的投标文件将作为非响应性投标而予以拒绝。</w:t>
      </w:r>
    </w:p>
    <w:p w14:paraId="4F154EED">
      <w:pPr>
        <w:ind w:firstLine="640" w:firstLineChars="200"/>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10.中标供应商投标报价应为所投项目的最终报价，已经包括中标供应商维修器械及完成该项目所须工具、一切税费；中标供应商相应自行增加为完成各项服务所必需但竞价没有包含的所有耗材、零部件、物料等一切费用。 中标供应商相应自行增加为完成各项服务所必需但竞价文件没有包含的所有耗材、零部件、物料等一切费用。</w:t>
      </w:r>
    </w:p>
    <w:p w14:paraId="66BA29A5">
      <w:pPr>
        <w:ind w:firstLine="640" w:firstLineChars="200"/>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11.维修费总金额=工时单价×工时+总零配件进货价格+总附加管理费（总零配件进货价格×附加管理费收费比率）。中标供应商应当设立结算专户与代购人维修款进行结算，并提供相关的结算单据。因采购人使用的是财政资金，采购人在本款规定的付款时间为向财政国库支付部门提出办理支付申请手续的时间（不含财政国库支付部门审核的时间），在规定时间内提出支付申请手续后即视为采购人已经按期支付。</w:t>
      </w:r>
    </w:p>
    <w:p w14:paraId="0B09CFF5">
      <w:pPr>
        <w:ind w:firstLine="640" w:firstLineChars="200"/>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四、项目成交原则</w:t>
      </w:r>
    </w:p>
    <w:p w14:paraId="6D8A6080">
      <w:pPr>
        <w:ind w:firstLine="640" w:firstLineChars="200"/>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在符合供应商资格要求的前提下，按照项目评审办法 （详见附件）进行综合评分，按总评分排名确定 1 家服务供应商。</w:t>
      </w:r>
    </w:p>
    <w:p w14:paraId="7F5950C4">
      <w:pPr>
        <w:ind w:firstLine="640" w:firstLineChars="200"/>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五、项目报名材料及方式</w:t>
      </w:r>
    </w:p>
    <w:p w14:paraId="459A9564">
      <w:pPr>
        <w:ind w:firstLine="640" w:firstLineChars="200"/>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（一）报名材料（包括但不限于以下材料）</w:t>
      </w:r>
    </w:p>
    <w:p w14:paraId="4ABEB342">
      <w:pPr>
        <w:ind w:firstLine="640" w:firstLineChars="200"/>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1、企业营业执照复印件及相关资质证书；</w:t>
      </w:r>
    </w:p>
    <w:p w14:paraId="4B41A4FC">
      <w:pPr>
        <w:ind w:firstLine="640" w:firstLineChars="200"/>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2、代理授权书、法人证书/法人代表授权书等相关资料</w:t>
      </w:r>
      <w:bookmarkStart w:id="0" w:name="_GoBack"/>
      <w:bookmarkEnd w:id="0"/>
      <w:r>
        <w:rPr>
          <w:rFonts w:hint="eastAsia" w:ascii="方正仿宋_GB2312" w:hAnsi="方正仿宋_GB2312" w:eastAsia="方正仿宋_GB2312" w:cs="方正仿宋_GB2312"/>
          <w:color w:val="auto"/>
          <w:sz w:val="32"/>
          <w:szCs w:val="32"/>
        </w:rPr>
        <w:t>；</w:t>
      </w:r>
    </w:p>
    <w:p w14:paraId="67685062">
      <w:pPr>
        <w:ind w:firstLine="640" w:firstLineChars="200"/>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3、从事该项目的主要工作人员相关资格证书复印件；</w:t>
      </w:r>
    </w:p>
    <w:p w14:paraId="4A8485CC">
      <w:pPr>
        <w:ind w:firstLine="640" w:firstLineChars="200"/>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4、投标产品说明和技术参数。</w:t>
      </w:r>
    </w:p>
    <w:p w14:paraId="43CB791B">
      <w:pPr>
        <w:ind w:firstLine="640" w:firstLineChars="200"/>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5、其他证明资料。</w:t>
      </w:r>
    </w:p>
    <w:p w14:paraId="2A422192">
      <w:pPr>
        <w:ind w:firstLine="640" w:firstLineChars="200"/>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以上资料均需加盖单位公章，一式一份。</w:t>
      </w:r>
    </w:p>
    <w:p w14:paraId="2F488335">
      <w:pPr>
        <w:ind w:firstLine="640" w:firstLineChars="200"/>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（二）报名方式</w:t>
      </w:r>
    </w:p>
    <w:p w14:paraId="009482BA">
      <w:pPr>
        <w:ind w:firstLine="640" w:firstLineChars="200"/>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有意向的供应商可在截止日期前投报上述各项纸质资料，所有纸质文件资料须用文件资料袋装密封，封口盖公章或签署投标供应商联系人姓名（凡是纸质投标资料未按要求密封的，视为无效投标资料）。</w:t>
      </w:r>
    </w:p>
    <w:p w14:paraId="3C8E4532">
      <w:pPr>
        <w:ind w:firstLine="640" w:firstLineChars="200"/>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1.接收投标文件时间：2026年</w:t>
      </w:r>
      <w:r>
        <w:rPr>
          <w:rFonts w:hint="eastAsia" w:ascii="方正仿宋_GB2312" w:hAnsi="方正仿宋_GB2312" w:eastAsia="方正仿宋_GB2312" w:cs="方正仿宋_GB2312"/>
          <w:color w:val="auto"/>
          <w:sz w:val="32"/>
          <w:szCs w:val="32"/>
          <w:lang w:val="en-US" w:eastAsia="zh-CN"/>
        </w:rPr>
        <w:t>7</w:t>
      </w:r>
      <w:r>
        <w:rPr>
          <w:rFonts w:hint="eastAsia" w:ascii="方正仿宋_GB2312" w:hAnsi="方正仿宋_GB2312" w:eastAsia="方正仿宋_GB2312" w:cs="方正仿宋_GB2312"/>
          <w:color w:val="auto"/>
          <w:sz w:val="32"/>
          <w:szCs w:val="32"/>
        </w:rPr>
        <w:t>月</w:t>
      </w:r>
      <w:r>
        <w:rPr>
          <w:rFonts w:hint="eastAsia" w:ascii="方正仿宋_GB2312" w:hAnsi="方正仿宋_GB2312" w:eastAsia="方正仿宋_GB2312" w:cs="方正仿宋_GB2312"/>
          <w:color w:val="auto"/>
          <w:sz w:val="32"/>
          <w:szCs w:val="32"/>
          <w:lang w:val="en-US" w:eastAsia="zh-CN"/>
        </w:rPr>
        <w:t>29</w:t>
      </w:r>
      <w:r>
        <w:rPr>
          <w:rFonts w:hint="eastAsia" w:ascii="方正仿宋_GB2312" w:hAnsi="方正仿宋_GB2312" w:eastAsia="方正仿宋_GB2312" w:cs="方正仿宋_GB2312"/>
          <w:color w:val="auto"/>
          <w:sz w:val="32"/>
          <w:szCs w:val="32"/>
        </w:rPr>
        <w:t>日8:30-12:00；14:30-17:</w:t>
      </w:r>
      <w:r>
        <w:rPr>
          <w:rFonts w:hint="eastAsia" w:ascii="方正仿宋_GB2312" w:hAnsi="方正仿宋_GB2312" w:eastAsia="方正仿宋_GB2312" w:cs="方正仿宋_GB2312"/>
          <w:color w:val="auto"/>
          <w:sz w:val="32"/>
          <w:szCs w:val="32"/>
          <w:lang w:val="en-US" w:eastAsia="zh-CN"/>
        </w:rPr>
        <w:t>0</w:t>
      </w:r>
      <w:r>
        <w:rPr>
          <w:rFonts w:hint="eastAsia" w:ascii="方正仿宋_GB2312" w:hAnsi="方正仿宋_GB2312" w:eastAsia="方正仿宋_GB2312" w:cs="方正仿宋_GB2312"/>
          <w:color w:val="auto"/>
          <w:sz w:val="32"/>
          <w:szCs w:val="32"/>
        </w:rPr>
        <w:t>0。</w:t>
      </w:r>
    </w:p>
    <w:p w14:paraId="230FFFBC">
      <w:pPr>
        <w:ind w:firstLine="640" w:firstLineChars="200"/>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2.接收投标文件地点：</w:t>
      </w:r>
      <w:r>
        <w:rPr>
          <w:rFonts w:hint="eastAsia" w:ascii="方正仿宋_GB2312" w:hAnsi="方正仿宋_GB2312" w:eastAsia="方正仿宋_GB2312" w:cs="方正仿宋_GB2312"/>
          <w:color w:val="auto"/>
          <w:sz w:val="32"/>
          <w:szCs w:val="32"/>
          <w:lang w:eastAsia="zh-CN"/>
        </w:rPr>
        <w:t>江门市农业科技创新中心</w:t>
      </w:r>
      <w:r>
        <w:rPr>
          <w:rFonts w:hint="eastAsia" w:ascii="方正仿宋_GB2312" w:hAnsi="方正仿宋_GB2312" w:eastAsia="方正仿宋_GB2312" w:cs="方正仿宋_GB2312"/>
          <w:color w:val="auto"/>
          <w:sz w:val="32"/>
          <w:szCs w:val="32"/>
        </w:rPr>
        <w:t>（地址：江门市</w:t>
      </w:r>
      <w:r>
        <w:rPr>
          <w:rFonts w:hint="eastAsia" w:ascii="方正仿宋_GB2312" w:hAnsi="方正仿宋_GB2312" w:eastAsia="方正仿宋_GB2312" w:cs="方正仿宋_GB2312"/>
          <w:color w:val="auto"/>
          <w:sz w:val="32"/>
          <w:szCs w:val="32"/>
          <w:lang w:val="en-US" w:eastAsia="zh-CN"/>
        </w:rPr>
        <w:t>开平（县）市广东（江门）国家农业科技园区</w:t>
      </w:r>
      <w:r>
        <w:rPr>
          <w:rFonts w:hint="eastAsia" w:ascii="方正仿宋_GB2312" w:hAnsi="方正仿宋_GB2312" w:eastAsia="方正仿宋_GB2312" w:cs="方正仿宋_GB2312"/>
          <w:color w:val="auto"/>
          <w:sz w:val="32"/>
          <w:szCs w:val="32"/>
        </w:rPr>
        <w:t>）。</w:t>
      </w:r>
    </w:p>
    <w:p w14:paraId="034EBDDE">
      <w:pPr>
        <w:ind w:firstLine="640" w:firstLineChars="200"/>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3.接收投标文件截止时间：2026年</w:t>
      </w:r>
      <w:r>
        <w:rPr>
          <w:rFonts w:hint="eastAsia" w:ascii="方正仿宋_GB2312" w:hAnsi="方正仿宋_GB2312" w:eastAsia="方正仿宋_GB2312" w:cs="方正仿宋_GB2312"/>
          <w:color w:val="auto"/>
          <w:sz w:val="32"/>
          <w:szCs w:val="32"/>
          <w:lang w:val="en-US" w:eastAsia="zh-CN"/>
        </w:rPr>
        <w:t>7</w:t>
      </w:r>
      <w:r>
        <w:rPr>
          <w:rFonts w:hint="eastAsia" w:ascii="方正仿宋_GB2312" w:hAnsi="方正仿宋_GB2312" w:eastAsia="方正仿宋_GB2312" w:cs="方正仿宋_GB2312"/>
          <w:color w:val="auto"/>
          <w:sz w:val="32"/>
          <w:szCs w:val="32"/>
        </w:rPr>
        <w:t>月</w:t>
      </w:r>
      <w:r>
        <w:rPr>
          <w:rFonts w:hint="eastAsia" w:ascii="方正仿宋_GB2312" w:hAnsi="方正仿宋_GB2312" w:eastAsia="方正仿宋_GB2312" w:cs="方正仿宋_GB2312"/>
          <w:color w:val="auto"/>
          <w:sz w:val="32"/>
          <w:szCs w:val="32"/>
          <w:lang w:val="en-US" w:eastAsia="zh-CN"/>
        </w:rPr>
        <w:t>29</w:t>
      </w:r>
      <w:r>
        <w:rPr>
          <w:rFonts w:hint="eastAsia" w:ascii="方正仿宋_GB2312" w:hAnsi="方正仿宋_GB2312" w:eastAsia="方正仿宋_GB2312" w:cs="方正仿宋_GB2312"/>
          <w:color w:val="auto"/>
          <w:sz w:val="32"/>
          <w:szCs w:val="32"/>
        </w:rPr>
        <w:t>日下午17:</w:t>
      </w:r>
      <w:r>
        <w:rPr>
          <w:rFonts w:hint="eastAsia" w:ascii="方正仿宋_GB2312" w:hAnsi="方正仿宋_GB2312" w:eastAsia="方正仿宋_GB2312" w:cs="方正仿宋_GB2312"/>
          <w:color w:val="auto"/>
          <w:sz w:val="32"/>
          <w:szCs w:val="32"/>
          <w:lang w:val="en-US" w:eastAsia="zh-CN"/>
        </w:rPr>
        <w:t>0</w:t>
      </w:r>
      <w:r>
        <w:rPr>
          <w:rFonts w:hint="eastAsia" w:ascii="方正仿宋_GB2312" w:hAnsi="方正仿宋_GB2312" w:eastAsia="方正仿宋_GB2312" w:cs="方正仿宋_GB2312"/>
          <w:color w:val="auto"/>
          <w:sz w:val="32"/>
          <w:szCs w:val="32"/>
        </w:rPr>
        <w:t>0。</w:t>
      </w:r>
    </w:p>
    <w:p w14:paraId="6E7D6C6C">
      <w:pPr>
        <w:ind w:firstLine="640" w:firstLineChars="200"/>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六、 联系方式</w:t>
      </w:r>
    </w:p>
    <w:p w14:paraId="317F8E40">
      <w:pPr>
        <w:ind w:firstLine="640" w:firstLineChars="200"/>
        <w:rPr>
          <w:rFonts w:hint="eastAsia" w:ascii="方正仿宋_GB2312" w:hAnsi="方正仿宋_GB2312" w:eastAsia="方正仿宋_GB2312" w:cs="方正仿宋_GB2312"/>
          <w:color w:val="auto"/>
          <w:sz w:val="32"/>
          <w:szCs w:val="32"/>
          <w:lang w:eastAsia="zh-CN"/>
        </w:rPr>
      </w:pPr>
      <w:r>
        <w:rPr>
          <w:rFonts w:hint="eastAsia" w:ascii="方正仿宋_GB2312" w:hAnsi="方正仿宋_GB2312" w:eastAsia="方正仿宋_GB2312" w:cs="方正仿宋_GB2312"/>
          <w:color w:val="auto"/>
          <w:sz w:val="32"/>
          <w:szCs w:val="32"/>
        </w:rPr>
        <w:t>单位名称：</w:t>
      </w:r>
      <w:r>
        <w:rPr>
          <w:rFonts w:hint="eastAsia" w:ascii="方正仿宋_GB2312" w:hAnsi="方正仿宋_GB2312" w:eastAsia="方正仿宋_GB2312" w:cs="方正仿宋_GB2312"/>
          <w:color w:val="auto"/>
          <w:sz w:val="32"/>
          <w:szCs w:val="32"/>
          <w:lang w:eastAsia="zh-CN"/>
        </w:rPr>
        <w:t>江门市农业科技创新中心</w:t>
      </w:r>
    </w:p>
    <w:p w14:paraId="64EDDC71">
      <w:pPr>
        <w:ind w:firstLine="640" w:firstLineChars="200"/>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rPr>
        <w:t>地   址：江门市</w:t>
      </w:r>
      <w:r>
        <w:rPr>
          <w:rFonts w:hint="eastAsia" w:ascii="方正仿宋_GB2312" w:hAnsi="方正仿宋_GB2312" w:eastAsia="方正仿宋_GB2312" w:cs="方正仿宋_GB2312"/>
          <w:color w:val="auto"/>
          <w:sz w:val="32"/>
          <w:szCs w:val="32"/>
          <w:lang w:val="en-US" w:eastAsia="zh-CN"/>
        </w:rPr>
        <w:t>开平（县）市广东（江门）国家农业科技园区</w:t>
      </w:r>
    </w:p>
    <w:p w14:paraId="1B49E3C6">
      <w:pPr>
        <w:ind w:firstLine="640" w:firstLineChars="200"/>
        <w:rPr>
          <w:rFonts w:hint="default" w:ascii="方正仿宋_GB2312" w:hAnsi="方正仿宋_GB2312" w:eastAsia="方正仿宋_GB2312" w:cs="方正仿宋_GB2312"/>
          <w:color w:val="auto"/>
          <w:sz w:val="32"/>
          <w:szCs w:val="32"/>
          <w:lang w:val="en-US"/>
        </w:rPr>
      </w:pPr>
      <w:r>
        <w:rPr>
          <w:rFonts w:hint="eastAsia" w:ascii="方正仿宋_GB2312" w:hAnsi="方正仿宋_GB2312" w:eastAsia="方正仿宋_GB2312" w:cs="方正仿宋_GB2312"/>
          <w:color w:val="auto"/>
          <w:sz w:val="32"/>
          <w:szCs w:val="32"/>
        </w:rPr>
        <w:t>联 系 人：</w:t>
      </w:r>
      <w:r>
        <w:rPr>
          <w:rFonts w:hint="eastAsia" w:ascii="方正仿宋_GB2312" w:hAnsi="方正仿宋_GB2312" w:eastAsia="方正仿宋_GB2312" w:cs="方正仿宋_GB2312"/>
          <w:color w:val="auto"/>
          <w:sz w:val="32"/>
          <w:szCs w:val="32"/>
          <w:lang w:val="en-US" w:eastAsia="zh-CN"/>
        </w:rPr>
        <w:t>李小姐</w:t>
      </w:r>
    </w:p>
    <w:p w14:paraId="420AF75A">
      <w:pPr>
        <w:ind w:firstLine="640" w:firstLineChars="200"/>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rPr>
        <w:t>联系电话：0750-</w:t>
      </w:r>
      <w:r>
        <w:rPr>
          <w:rFonts w:hint="eastAsia" w:ascii="方正仿宋_GB2312" w:hAnsi="方正仿宋_GB2312" w:eastAsia="方正仿宋_GB2312" w:cs="方正仿宋_GB2312"/>
          <w:color w:val="auto"/>
          <w:sz w:val="32"/>
          <w:szCs w:val="32"/>
          <w:lang w:val="en-US" w:eastAsia="zh-CN"/>
        </w:rPr>
        <w:t>2788981</w:t>
      </w:r>
      <w:r>
        <w:rPr>
          <w:rFonts w:hint="eastAsia" w:ascii="方正仿宋_GB2312" w:hAnsi="方正仿宋_GB2312" w:eastAsia="方正仿宋_GB2312" w:cs="方正仿宋_GB2312"/>
          <w:color w:val="auto"/>
          <w:sz w:val="32"/>
          <w:szCs w:val="32"/>
          <w:lang w:eastAsia="zh-CN"/>
        </w:rPr>
        <w:t>；</w:t>
      </w:r>
      <w:r>
        <w:rPr>
          <w:rFonts w:hint="eastAsia" w:ascii="方正仿宋_GB2312" w:hAnsi="方正仿宋_GB2312" w:eastAsia="方正仿宋_GB2312" w:cs="方正仿宋_GB2312"/>
          <w:color w:val="auto"/>
          <w:sz w:val="32"/>
          <w:szCs w:val="32"/>
          <w:lang w:val="en-US" w:eastAsia="zh-CN"/>
        </w:rPr>
        <w:t>13750367677；</w:t>
      </w:r>
    </w:p>
    <w:p w14:paraId="7B4C930C">
      <w:pPr>
        <w:rPr>
          <w:rFonts w:hint="eastAsia" w:ascii="方正仿宋_GB2312" w:hAnsi="方正仿宋_GB2312" w:eastAsia="方正仿宋_GB2312" w:cs="方正仿宋_GB2312"/>
          <w:color w:val="auto"/>
          <w:sz w:val="32"/>
          <w:szCs w:val="32"/>
        </w:rPr>
      </w:pPr>
    </w:p>
    <w:p w14:paraId="58C40B23">
      <w:pPr>
        <w:pStyle w:val="3"/>
        <w:keepNext w:val="0"/>
        <w:keepLines w:val="0"/>
        <w:widowControl/>
        <w:suppressLineNumbers w:val="0"/>
        <w:spacing w:before="75" w:beforeAutospacing="0" w:after="75" w:afterAutospacing="0"/>
        <w:ind w:left="1918" w:leftChars="304" w:right="0" w:hanging="1280" w:hangingChars="400"/>
        <w:rPr>
          <w:rFonts w:hint="eastAsia" w:ascii="方正仿宋_GB2312" w:hAnsi="方正仿宋_GB2312" w:eastAsia="方正仿宋_GB2312" w:cs="方正仿宋_GB2312"/>
          <w:snapToGrid w:val="0"/>
          <w:color w:val="auto"/>
          <w:kern w:val="0"/>
          <w:sz w:val="32"/>
          <w:szCs w:val="32"/>
          <w:lang w:val="en-US" w:eastAsia="zh-CN" w:bidi="ar-SA"/>
        </w:rPr>
      </w:pPr>
      <w:r>
        <w:rPr>
          <w:rFonts w:hint="eastAsia" w:ascii="方正仿宋_GB2312" w:hAnsi="方正仿宋_GB2312" w:eastAsia="方正仿宋_GB2312" w:cs="方正仿宋_GB2312"/>
          <w:color w:val="auto"/>
          <w:sz w:val="32"/>
          <w:szCs w:val="32"/>
        </w:rPr>
        <w:t>附件：</w:t>
      </w:r>
      <w:r>
        <w:rPr>
          <w:rFonts w:hint="default" w:ascii="方正仿宋_GB2312" w:hAnsi="方正仿宋_GB2312" w:eastAsia="方正仿宋_GB2312" w:cs="方正仿宋_GB2312"/>
          <w:snapToGrid w:val="0"/>
          <w:color w:val="auto"/>
          <w:kern w:val="0"/>
          <w:sz w:val="32"/>
          <w:szCs w:val="32"/>
          <w:lang w:val="en-US" w:eastAsia="zh-CN" w:bidi="ar-SA"/>
        </w:rPr>
        <w:t>1.江门市农业科技创新中心2026-2027年度公务用车定点维修保养服务项目资格审查表</w:t>
      </w:r>
    </w:p>
    <w:p w14:paraId="3D940C4C">
      <w:pPr>
        <w:pStyle w:val="3"/>
        <w:keepNext w:val="0"/>
        <w:keepLines w:val="0"/>
        <w:widowControl/>
        <w:numPr>
          <w:numId w:val="0"/>
        </w:numPr>
        <w:suppressLineNumbers w:val="0"/>
        <w:spacing w:before="75" w:beforeAutospacing="0" w:after="75" w:afterAutospacing="0"/>
        <w:ind w:left="1579" w:leftChars="752" w:right="0" w:rightChars="0" w:firstLine="0" w:firstLineChars="0"/>
        <w:rPr>
          <w:rFonts w:hint="default" w:ascii="方正仿宋_GB2312" w:hAnsi="方正仿宋_GB2312" w:eastAsia="方正仿宋_GB2312" w:cs="方正仿宋_GB2312"/>
          <w:snapToGrid w:val="0"/>
          <w:color w:val="auto"/>
          <w:kern w:val="0"/>
          <w:sz w:val="32"/>
          <w:szCs w:val="32"/>
          <w:lang w:val="en-US" w:eastAsia="zh-CN" w:bidi="ar-SA"/>
        </w:rPr>
      </w:pPr>
      <w:r>
        <w:rPr>
          <w:rFonts w:hint="eastAsia" w:ascii="方正仿宋_GB2312" w:hAnsi="方正仿宋_GB2312" w:eastAsia="方正仿宋_GB2312" w:cs="方正仿宋_GB2312"/>
          <w:snapToGrid w:val="0"/>
          <w:color w:val="auto"/>
          <w:kern w:val="0"/>
          <w:sz w:val="32"/>
          <w:szCs w:val="32"/>
          <w:lang w:val="en-US" w:eastAsia="zh-CN" w:bidi="ar-SA"/>
        </w:rPr>
        <w:t>2.</w:t>
      </w:r>
      <w:r>
        <w:rPr>
          <w:rFonts w:hint="default" w:ascii="方正仿宋_GB2312" w:hAnsi="方正仿宋_GB2312" w:eastAsia="方正仿宋_GB2312" w:cs="方正仿宋_GB2312"/>
          <w:snapToGrid w:val="0"/>
          <w:color w:val="auto"/>
          <w:kern w:val="0"/>
          <w:sz w:val="32"/>
          <w:szCs w:val="32"/>
          <w:lang w:val="en-US" w:eastAsia="zh-CN" w:bidi="ar-SA"/>
        </w:rPr>
        <w:t>江门市农业科技创新中心2026-2027年度公务用车定点维修保养服务项目综合评审表</w:t>
      </w:r>
    </w:p>
    <w:p w14:paraId="589B835A">
      <w:pPr>
        <w:rPr>
          <w:rFonts w:hint="eastAsia" w:ascii="方正仿宋_GB2312" w:hAnsi="方正仿宋_GB2312" w:eastAsia="方正仿宋_GB2312" w:cs="方正仿宋_GB2312"/>
          <w:color w:val="auto"/>
          <w:sz w:val="32"/>
          <w:szCs w:val="32"/>
        </w:rPr>
      </w:pPr>
    </w:p>
    <w:p w14:paraId="319FFF07">
      <w:pPr>
        <w:jc w:val="right"/>
        <w:rPr>
          <w:rFonts w:hint="eastAsia" w:ascii="方正仿宋_GB2312" w:hAnsi="方正仿宋_GB2312" w:eastAsia="方正仿宋_GB2312" w:cs="方正仿宋_GB2312"/>
          <w:color w:val="auto"/>
          <w:sz w:val="32"/>
          <w:szCs w:val="32"/>
          <w:lang w:eastAsia="zh-CN"/>
        </w:rPr>
      </w:pPr>
      <w:r>
        <w:rPr>
          <w:rFonts w:hint="eastAsia" w:ascii="方正仿宋_GB2312" w:hAnsi="方正仿宋_GB2312" w:eastAsia="方正仿宋_GB2312" w:cs="方正仿宋_GB2312"/>
          <w:color w:val="auto"/>
          <w:sz w:val="32"/>
          <w:szCs w:val="32"/>
          <w:lang w:eastAsia="zh-CN"/>
        </w:rPr>
        <w:t>江门市农业科技创新中心</w:t>
      </w:r>
    </w:p>
    <w:p w14:paraId="67040B10">
      <w:pPr>
        <w:jc w:val="center"/>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 xml:space="preserve">                                    2026年7月24日</w:t>
      </w:r>
    </w:p>
    <w:p w14:paraId="47229907">
      <w:pPr>
        <w:ind w:firstLine="640" w:firstLineChars="200"/>
        <w:rPr>
          <w:rFonts w:hint="eastAsia" w:ascii="方正仿宋_GB2312" w:hAnsi="方正仿宋_GB2312" w:eastAsia="方正仿宋_GB2312" w:cs="方正仿宋_GB2312"/>
          <w:color w:val="auto"/>
          <w:sz w:val="32"/>
          <w:szCs w:val="32"/>
        </w:rPr>
      </w:pPr>
    </w:p>
    <w:p w14:paraId="7BCA4923">
      <w:pPr>
        <w:ind w:firstLine="640" w:firstLineChars="200"/>
        <w:rPr>
          <w:rFonts w:hint="eastAsia" w:ascii="方正仿宋_GB2312" w:hAnsi="方正仿宋_GB2312" w:eastAsia="方正仿宋_GB2312" w:cs="方正仿宋_GB2312"/>
          <w:color w:val="auto"/>
          <w:sz w:val="32"/>
          <w:szCs w:val="32"/>
        </w:rPr>
      </w:pPr>
    </w:p>
    <w:p w14:paraId="0C1871E9">
      <w:pPr>
        <w:spacing w:line="361" w:lineRule="auto"/>
        <w:rPr>
          <w:rFonts w:hint="eastAsia" w:ascii="方正仿宋_GB2312" w:hAnsi="方正仿宋_GB2312" w:eastAsia="方正仿宋_GB2312" w:cs="方正仿宋_GB2312"/>
          <w:color w:val="auto"/>
          <w:sz w:val="32"/>
          <w:szCs w:val="32"/>
        </w:rPr>
        <w:sectPr>
          <w:pgSz w:w="11907" w:h="16840"/>
          <w:pgMar w:top="1431" w:right="1699" w:bottom="0" w:left="1713" w:header="0" w:footer="0" w:gutter="0"/>
          <w:cols w:space="720" w:num="1"/>
        </w:sectPr>
      </w:pPr>
    </w:p>
    <w:p w14:paraId="7FECF00C">
      <w:pPr>
        <w:spacing w:line="391" w:lineRule="auto"/>
        <w:rPr>
          <w:rFonts w:ascii="Arial"/>
          <w:color w:val="auto"/>
          <w:sz w:val="21"/>
        </w:rPr>
      </w:pPr>
    </w:p>
    <w:p w14:paraId="30D9DF38">
      <w:pPr>
        <w:spacing w:before="101" w:line="225" w:lineRule="auto"/>
        <w:ind w:left="503"/>
        <w:rPr>
          <w:rFonts w:ascii="宋体" w:hAnsi="宋体" w:eastAsia="宋体" w:cs="宋体"/>
          <w:color w:val="auto"/>
          <w:sz w:val="31"/>
          <w:szCs w:val="31"/>
        </w:rPr>
      </w:pPr>
      <w:r>
        <w:rPr>
          <w:rFonts w:hint="eastAsia" w:ascii="宋体" w:hAnsi="宋体" w:eastAsia="宋体" w:cs="宋体"/>
          <w:color w:val="auto"/>
          <w:spacing w:val="7"/>
          <w:sz w:val="31"/>
          <w:szCs w:val="31"/>
          <w:lang w:eastAsia="zh-CN"/>
        </w:rPr>
        <w:t>江门市农业科技创新中心</w:t>
      </w:r>
      <w:r>
        <w:rPr>
          <w:rFonts w:ascii="宋体" w:hAnsi="宋体" w:eastAsia="宋体" w:cs="宋体"/>
          <w:color w:val="auto"/>
          <w:spacing w:val="7"/>
          <w:sz w:val="31"/>
          <w:szCs w:val="31"/>
        </w:rPr>
        <w:t>2026-202</w:t>
      </w:r>
      <w:r>
        <w:rPr>
          <w:rFonts w:hint="eastAsia" w:ascii="宋体" w:hAnsi="宋体" w:eastAsia="宋体" w:cs="宋体"/>
          <w:color w:val="auto"/>
          <w:spacing w:val="7"/>
          <w:sz w:val="31"/>
          <w:szCs w:val="31"/>
          <w:lang w:val="en-US" w:eastAsia="zh-CN"/>
        </w:rPr>
        <w:t>7</w:t>
      </w:r>
      <w:r>
        <w:rPr>
          <w:rFonts w:ascii="宋体" w:hAnsi="宋体" w:eastAsia="宋体" w:cs="宋体"/>
          <w:color w:val="auto"/>
          <w:spacing w:val="7"/>
          <w:sz w:val="31"/>
          <w:szCs w:val="31"/>
        </w:rPr>
        <w:t>年度公务用车定点维修保养服务项目资格审查表</w:t>
      </w:r>
    </w:p>
    <w:p w14:paraId="6B67A697">
      <w:pPr>
        <w:spacing w:before="103"/>
        <w:rPr>
          <w:color w:val="auto"/>
        </w:rPr>
      </w:pPr>
    </w:p>
    <w:tbl>
      <w:tblPr>
        <w:tblStyle w:val="6"/>
        <w:tblW w:w="1357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23"/>
        <w:gridCol w:w="2336"/>
        <w:gridCol w:w="2336"/>
        <w:gridCol w:w="2335"/>
        <w:gridCol w:w="2343"/>
      </w:tblGrid>
      <w:tr w14:paraId="22380E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1" w:hRule="atLeast"/>
        </w:trPr>
        <w:tc>
          <w:tcPr>
            <w:tcW w:w="4223" w:type="dxa"/>
            <w:tcBorders>
              <w:tl2br w:val="single" w:color="000000" w:sz="4" w:space="0"/>
            </w:tcBorders>
            <w:vAlign w:val="top"/>
          </w:tcPr>
          <w:p w14:paraId="3E35A70B">
            <w:pPr>
              <w:spacing w:before="281" w:line="228" w:lineRule="auto"/>
              <w:ind w:left="271" w:right="512" w:firstLine="2799"/>
              <w:rPr>
                <w:rFonts w:ascii="宋体" w:hAnsi="宋体" w:eastAsia="宋体" w:cs="宋体"/>
                <w:color w:val="auto"/>
                <w:sz w:val="21"/>
                <w:szCs w:val="21"/>
              </w:rPr>
            </w:pPr>
            <w:r>
              <w:rPr>
                <w:rFonts w:ascii="宋体" w:hAnsi="宋体" w:eastAsia="宋体" w:cs="宋体"/>
                <w:color w:val="auto"/>
                <w:spacing w:val="-1"/>
                <w:sz w:val="21"/>
                <w:szCs w:val="21"/>
              </w:rPr>
              <w:t>投标人资格要求</w:t>
            </w:r>
          </w:p>
        </w:tc>
        <w:tc>
          <w:tcPr>
            <w:tcW w:w="2336" w:type="dxa"/>
            <w:vAlign w:val="top"/>
          </w:tcPr>
          <w:p w14:paraId="407D43E9">
            <w:pPr>
              <w:pStyle w:val="7"/>
              <w:rPr>
                <w:color w:val="auto"/>
              </w:rPr>
            </w:pPr>
          </w:p>
        </w:tc>
        <w:tc>
          <w:tcPr>
            <w:tcW w:w="2336" w:type="dxa"/>
            <w:vAlign w:val="top"/>
          </w:tcPr>
          <w:p w14:paraId="06B6EDB9">
            <w:pPr>
              <w:pStyle w:val="7"/>
              <w:rPr>
                <w:color w:val="auto"/>
              </w:rPr>
            </w:pPr>
          </w:p>
        </w:tc>
        <w:tc>
          <w:tcPr>
            <w:tcW w:w="2335" w:type="dxa"/>
            <w:vAlign w:val="top"/>
          </w:tcPr>
          <w:p w14:paraId="03884855">
            <w:pPr>
              <w:pStyle w:val="7"/>
              <w:rPr>
                <w:color w:val="auto"/>
              </w:rPr>
            </w:pPr>
          </w:p>
        </w:tc>
        <w:tc>
          <w:tcPr>
            <w:tcW w:w="2343" w:type="dxa"/>
            <w:vAlign w:val="top"/>
          </w:tcPr>
          <w:p w14:paraId="55459998">
            <w:pPr>
              <w:pStyle w:val="7"/>
              <w:rPr>
                <w:color w:val="auto"/>
              </w:rPr>
            </w:pPr>
          </w:p>
        </w:tc>
      </w:tr>
      <w:tr w14:paraId="78FF2B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3" w:hRule="atLeast"/>
        </w:trPr>
        <w:tc>
          <w:tcPr>
            <w:tcW w:w="4223" w:type="dxa"/>
            <w:vAlign w:val="top"/>
          </w:tcPr>
          <w:p w14:paraId="76F39578">
            <w:pPr>
              <w:spacing w:before="275" w:line="228" w:lineRule="auto"/>
              <w:ind w:left="44" w:right="24" w:firstLine="5"/>
              <w:rPr>
                <w:rFonts w:ascii="宋体" w:hAnsi="宋体" w:eastAsia="宋体" w:cs="宋体"/>
                <w:color w:val="auto"/>
                <w:sz w:val="21"/>
                <w:szCs w:val="21"/>
              </w:rPr>
            </w:pPr>
            <w:r>
              <w:rPr>
                <w:rFonts w:ascii="宋体" w:hAnsi="宋体" w:eastAsia="宋体" w:cs="宋体"/>
                <w:color w:val="auto"/>
                <w:spacing w:val="7"/>
                <w:sz w:val="21"/>
                <w:szCs w:val="21"/>
              </w:rPr>
              <w:t>具备《</w:t>
            </w:r>
            <w:r>
              <w:rPr>
                <w:rFonts w:hint="eastAsia" w:ascii="宋体" w:hAnsi="宋体" w:eastAsia="宋体" w:cs="宋体"/>
                <w:color w:val="auto"/>
                <w:spacing w:val="7"/>
                <w:sz w:val="21"/>
                <w:szCs w:val="21"/>
              </w:rPr>
              <w:t>中华人民共和国</w:t>
            </w:r>
            <w:r>
              <w:rPr>
                <w:rFonts w:ascii="宋体" w:hAnsi="宋体" w:eastAsia="宋体" w:cs="宋体"/>
                <w:color w:val="auto"/>
                <w:spacing w:val="7"/>
                <w:sz w:val="21"/>
                <w:szCs w:val="21"/>
              </w:rPr>
              <w:t>政府采购法》第二十二条及《</w:t>
            </w:r>
            <w:r>
              <w:rPr>
                <w:rFonts w:hint="eastAsia" w:ascii="宋体" w:hAnsi="宋体" w:eastAsia="宋体" w:cs="宋体"/>
                <w:color w:val="auto"/>
                <w:spacing w:val="7"/>
                <w:sz w:val="21"/>
                <w:szCs w:val="21"/>
              </w:rPr>
              <w:t>中华人民共和国</w:t>
            </w:r>
            <w:r>
              <w:rPr>
                <w:rFonts w:ascii="宋体" w:hAnsi="宋体" w:eastAsia="宋体" w:cs="宋体"/>
                <w:color w:val="auto"/>
                <w:spacing w:val="7"/>
                <w:sz w:val="21"/>
                <w:szCs w:val="21"/>
              </w:rPr>
              <w:t>政府采</w:t>
            </w:r>
            <w:r>
              <w:rPr>
                <w:rFonts w:ascii="宋体" w:hAnsi="宋体" w:eastAsia="宋体" w:cs="宋体"/>
                <w:color w:val="auto"/>
                <w:spacing w:val="3"/>
                <w:sz w:val="21"/>
                <w:szCs w:val="21"/>
              </w:rPr>
              <w:t>购法实施条例》第十七条的规定的条件</w:t>
            </w:r>
          </w:p>
        </w:tc>
        <w:tc>
          <w:tcPr>
            <w:tcW w:w="2336" w:type="dxa"/>
            <w:vAlign w:val="top"/>
          </w:tcPr>
          <w:p w14:paraId="51A7F22A">
            <w:pPr>
              <w:pStyle w:val="7"/>
              <w:rPr>
                <w:color w:val="auto"/>
              </w:rPr>
            </w:pPr>
          </w:p>
        </w:tc>
        <w:tc>
          <w:tcPr>
            <w:tcW w:w="2336" w:type="dxa"/>
            <w:vAlign w:val="top"/>
          </w:tcPr>
          <w:p w14:paraId="4C3F67CF">
            <w:pPr>
              <w:pStyle w:val="7"/>
              <w:rPr>
                <w:color w:val="auto"/>
              </w:rPr>
            </w:pPr>
          </w:p>
        </w:tc>
        <w:tc>
          <w:tcPr>
            <w:tcW w:w="2335" w:type="dxa"/>
            <w:vAlign w:val="top"/>
          </w:tcPr>
          <w:p w14:paraId="5E506C3A">
            <w:pPr>
              <w:pStyle w:val="7"/>
              <w:rPr>
                <w:color w:val="auto"/>
              </w:rPr>
            </w:pPr>
          </w:p>
        </w:tc>
        <w:tc>
          <w:tcPr>
            <w:tcW w:w="2343" w:type="dxa"/>
            <w:vAlign w:val="top"/>
          </w:tcPr>
          <w:p w14:paraId="7CB4D076">
            <w:pPr>
              <w:pStyle w:val="7"/>
              <w:rPr>
                <w:color w:val="auto"/>
              </w:rPr>
            </w:pPr>
          </w:p>
        </w:tc>
      </w:tr>
      <w:tr w14:paraId="14F834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4" w:hRule="atLeast"/>
        </w:trPr>
        <w:tc>
          <w:tcPr>
            <w:tcW w:w="4223" w:type="dxa"/>
            <w:vAlign w:val="top"/>
          </w:tcPr>
          <w:p w14:paraId="079810FB">
            <w:pPr>
              <w:spacing w:before="279" w:line="230" w:lineRule="auto"/>
              <w:ind w:left="47" w:right="26" w:firstLine="3"/>
              <w:rPr>
                <w:rFonts w:ascii="宋体" w:hAnsi="宋体" w:eastAsia="宋体" w:cs="宋体"/>
                <w:color w:val="auto"/>
                <w:sz w:val="21"/>
                <w:szCs w:val="21"/>
              </w:rPr>
            </w:pPr>
            <w:r>
              <w:rPr>
                <w:rFonts w:ascii="宋体" w:hAnsi="宋体" w:eastAsia="宋体" w:cs="宋体"/>
                <w:color w:val="auto"/>
                <w:spacing w:val="7"/>
                <w:sz w:val="21"/>
                <w:szCs w:val="21"/>
              </w:rPr>
              <w:t>具有监管部门批准的营业执照且营业范围涵</w:t>
            </w:r>
            <w:r>
              <w:rPr>
                <w:rFonts w:ascii="宋体" w:hAnsi="宋体" w:eastAsia="宋体" w:cs="宋体"/>
                <w:color w:val="auto"/>
                <w:spacing w:val="1"/>
                <w:sz w:val="21"/>
                <w:szCs w:val="21"/>
              </w:rPr>
              <w:t>盖该项目</w:t>
            </w:r>
          </w:p>
        </w:tc>
        <w:tc>
          <w:tcPr>
            <w:tcW w:w="2336" w:type="dxa"/>
            <w:vAlign w:val="top"/>
          </w:tcPr>
          <w:p w14:paraId="67CAE318">
            <w:pPr>
              <w:pStyle w:val="7"/>
              <w:rPr>
                <w:color w:val="auto"/>
              </w:rPr>
            </w:pPr>
          </w:p>
        </w:tc>
        <w:tc>
          <w:tcPr>
            <w:tcW w:w="2336" w:type="dxa"/>
            <w:vAlign w:val="top"/>
          </w:tcPr>
          <w:p w14:paraId="64352DAE">
            <w:pPr>
              <w:pStyle w:val="7"/>
              <w:rPr>
                <w:color w:val="auto"/>
              </w:rPr>
            </w:pPr>
          </w:p>
        </w:tc>
        <w:tc>
          <w:tcPr>
            <w:tcW w:w="2335" w:type="dxa"/>
            <w:vAlign w:val="top"/>
          </w:tcPr>
          <w:p w14:paraId="7A997F5D">
            <w:pPr>
              <w:pStyle w:val="7"/>
              <w:rPr>
                <w:color w:val="auto"/>
              </w:rPr>
            </w:pPr>
          </w:p>
        </w:tc>
        <w:tc>
          <w:tcPr>
            <w:tcW w:w="2343" w:type="dxa"/>
            <w:vAlign w:val="top"/>
          </w:tcPr>
          <w:p w14:paraId="7F675F8A">
            <w:pPr>
              <w:pStyle w:val="7"/>
              <w:rPr>
                <w:color w:val="auto"/>
              </w:rPr>
            </w:pPr>
          </w:p>
        </w:tc>
      </w:tr>
      <w:tr w14:paraId="1587DF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4" w:hRule="atLeast"/>
        </w:trPr>
        <w:tc>
          <w:tcPr>
            <w:tcW w:w="4223" w:type="dxa"/>
            <w:vAlign w:val="top"/>
          </w:tcPr>
          <w:p w14:paraId="00FC6920">
            <w:pPr>
              <w:spacing w:before="281" w:line="228" w:lineRule="auto"/>
              <w:ind w:left="54" w:right="26" w:hanging="4"/>
              <w:rPr>
                <w:rFonts w:ascii="宋体" w:hAnsi="宋体" w:eastAsia="宋体" w:cs="宋体"/>
                <w:color w:val="auto"/>
                <w:sz w:val="21"/>
                <w:szCs w:val="21"/>
              </w:rPr>
            </w:pPr>
            <w:r>
              <w:rPr>
                <w:rFonts w:ascii="宋体" w:hAnsi="宋体" w:eastAsia="宋体" w:cs="宋体"/>
                <w:color w:val="auto"/>
                <w:spacing w:val="7"/>
                <w:sz w:val="21"/>
                <w:szCs w:val="21"/>
              </w:rPr>
              <w:t>具有独立承担民事责任及完成本项目合同的</w:t>
            </w:r>
            <w:r>
              <w:rPr>
                <w:rFonts w:ascii="宋体" w:hAnsi="宋体" w:eastAsia="宋体" w:cs="宋体"/>
                <w:color w:val="auto"/>
                <w:spacing w:val="-5"/>
                <w:sz w:val="21"/>
                <w:szCs w:val="21"/>
              </w:rPr>
              <w:t>能力</w:t>
            </w:r>
          </w:p>
        </w:tc>
        <w:tc>
          <w:tcPr>
            <w:tcW w:w="2336" w:type="dxa"/>
            <w:vAlign w:val="top"/>
          </w:tcPr>
          <w:p w14:paraId="15D36096">
            <w:pPr>
              <w:pStyle w:val="7"/>
              <w:rPr>
                <w:color w:val="auto"/>
              </w:rPr>
            </w:pPr>
          </w:p>
        </w:tc>
        <w:tc>
          <w:tcPr>
            <w:tcW w:w="2336" w:type="dxa"/>
            <w:vAlign w:val="top"/>
          </w:tcPr>
          <w:p w14:paraId="247D2E62">
            <w:pPr>
              <w:pStyle w:val="7"/>
              <w:rPr>
                <w:color w:val="auto"/>
              </w:rPr>
            </w:pPr>
          </w:p>
        </w:tc>
        <w:tc>
          <w:tcPr>
            <w:tcW w:w="2335" w:type="dxa"/>
            <w:vAlign w:val="top"/>
          </w:tcPr>
          <w:p w14:paraId="6759B201">
            <w:pPr>
              <w:pStyle w:val="7"/>
              <w:rPr>
                <w:color w:val="auto"/>
              </w:rPr>
            </w:pPr>
          </w:p>
        </w:tc>
        <w:tc>
          <w:tcPr>
            <w:tcW w:w="2343" w:type="dxa"/>
            <w:vAlign w:val="top"/>
          </w:tcPr>
          <w:p w14:paraId="4BA0A37B">
            <w:pPr>
              <w:pStyle w:val="7"/>
              <w:rPr>
                <w:color w:val="auto"/>
              </w:rPr>
            </w:pPr>
          </w:p>
        </w:tc>
      </w:tr>
      <w:tr w14:paraId="28105F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3" w:hRule="atLeast"/>
        </w:trPr>
        <w:tc>
          <w:tcPr>
            <w:tcW w:w="4223" w:type="dxa"/>
            <w:vAlign w:val="top"/>
          </w:tcPr>
          <w:p w14:paraId="65D2E3D8">
            <w:pPr>
              <w:spacing w:before="93" w:line="228" w:lineRule="auto"/>
              <w:ind w:left="35" w:right="13" w:hanging="1"/>
              <w:jc w:val="both"/>
              <w:rPr>
                <w:rFonts w:ascii="宋体" w:hAnsi="宋体" w:eastAsia="宋体" w:cs="宋体"/>
                <w:color w:val="auto"/>
                <w:sz w:val="18"/>
                <w:szCs w:val="18"/>
              </w:rPr>
            </w:pPr>
            <w:r>
              <w:rPr>
                <w:rFonts w:ascii="宋体" w:hAnsi="宋体" w:eastAsia="宋体" w:cs="宋体"/>
                <w:color w:val="auto"/>
                <w:spacing w:val="9"/>
                <w:sz w:val="18"/>
                <w:szCs w:val="18"/>
              </w:rPr>
              <w:t>近三年内未被列入失信被执行人名单、重大税收违法案件当事人名单、政府采购严重违法失信行为记录名单，无受到政府采购行政处罚且相关信用惩戒</w:t>
            </w:r>
            <w:r>
              <w:rPr>
                <w:rFonts w:ascii="宋体" w:hAnsi="宋体" w:eastAsia="宋体" w:cs="宋体"/>
                <w:color w:val="auto"/>
                <w:sz w:val="18"/>
                <w:szCs w:val="18"/>
              </w:rPr>
              <w:t>期限未满情形。</w:t>
            </w:r>
          </w:p>
        </w:tc>
        <w:tc>
          <w:tcPr>
            <w:tcW w:w="2336" w:type="dxa"/>
            <w:vAlign w:val="top"/>
          </w:tcPr>
          <w:p w14:paraId="25165A25">
            <w:pPr>
              <w:pStyle w:val="7"/>
              <w:rPr>
                <w:color w:val="auto"/>
              </w:rPr>
            </w:pPr>
          </w:p>
        </w:tc>
        <w:tc>
          <w:tcPr>
            <w:tcW w:w="2336" w:type="dxa"/>
            <w:vAlign w:val="top"/>
          </w:tcPr>
          <w:p w14:paraId="1F5DD193">
            <w:pPr>
              <w:pStyle w:val="7"/>
              <w:rPr>
                <w:color w:val="auto"/>
              </w:rPr>
            </w:pPr>
          </w:p>
        </w:tc>
        <w:tc>
          <w:tcPr>
            <w:tcW w:w="2335" w:type="dxa"/>
            <w:vAlign w:val="top"/>
          </w:tcPr>
          <w:p w14:paraId="1169342C">
            <w:pPr>
              <w:pStyle w:val="7"/>
              <w:rPr>
                <w:color w:val="auto"/>
              </w:rPr>
            </w:pPr>
          </w:p>
        </w:tc>
        <w:tc>
          <w:tcPr>
            <w:tcW w:w="2343" w:type="dxa"/>
            <w:vAlign w:val="top"/>
          </w:tcPr>
          <w:p w14:paraId="0C096687">
            <w:pPr>
              <w:pStyle w:val="7"/>
              <w:rPr>
                <w:color w:val="auto"/>
              </w:rPr>
            </w:pPr>
          </w:p>
        </w:tc>
      </w:tr>
      <w:tr w14:paraId="573F88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4" w:hRule="atLeast"/>
        </w:trPr>
        <w:tc>
          <w:tcPr>
            <w:tcW w:w="4223" w:type="dxa"/>
            <w:vAlign w:val="top"/>
          </w:tcPr>
          <w:p w14:paraId="789DBAB4">
            <w:pPr>
              <w:spacing w:before="284" w:line="231" w:lineRule="auto"/>
              <w:ind w:left="46" w:right="25"/>
              <w:rPr>
                <w:rFonts w:ascii="宋体" w:hAnsi="宋体" w:eastAsia="宋体" w:cs="宋体"/>
                <w:color w:val="auto"/>
                <w:sz w:val="21"/>
                <w:szCs w:val="21"/>
              </w:rPr>
            </w:pPr>
            <w:r>
              <w:rPr>
                <w:rFonts w:ascii="宋体" w:hAnsi="宋体" w:eastAsia="宋体" w:cs="宋体"/>
                <w:color w:val="auto"/>
                <w:spacing w:val="7"/>
                <w:sz w:val="21"/>
                <w:szCs w:val="21"/>
              </w:rPr>
              <w:t>本项目不接受联合体投标，不接受转包、分</w:t>
            </w:r>
            <w:r>
              <w:rPr>
                <w:rFonts w:ascii="宋体" w:hAnsi="宋体" w:eastAsia="宋体" w:cs="宋体"/>
                <w:color w:val="auto"/>
                <w:spacing w:val="-3"/>
                <w:sz w:val="21"/>
                <w:szCs w:val="21"/>
              </w:rPr>
              <w:t>包。</w:t>
            </w:r>
          </w:p>
        </w:tc>
        <w:tc>
          <w:tcPr>
            <w:tcW w:w="2336" w:type="dxa"/>
            <w:vAlign w:val="top"/>
          </w:tcPr>
          <w:p w14:paraId="4AE90129">
            <w:pPr>
              <w:pStyle w:val="7"/>
              <w:rPr>
                <w:color w:val="auto"/>
              </w:rPr>
            </w:pPr>
          </w:p>
        </w:tc>
        <w:tc>
          <w:tcPr>
            <w:tcW w:w="2336" w:type="dxa"/>
            <w:vAlign w:val="top"/>
          </w:tcPr>
          <w:p w14:paraId="7BE41E64">
            <w:pPr>
              <w:pStyle w:val="7"/>
              <w:rPr>
                <w:color w:val="auto"/>
              </w:rPr>
            </w:pPr>
          </w:p>
        </w:tc>
        <w:tc>
          <w:tcPr>
            <w:tcW w:w="2335" w:type="dxa"/>
            <w:vAlign w:val="top"/>
          </w:tcPr>
          <w:p w14:paraId="4E141AA1">
            <w:pPr>
              <w:pStyle w:val="7"/>
              <w:rPr>
                <w:color w:val="auto"/>
              </w:rPr>
            </w:pPr>
          </w:p>
        </w:tc>
        <w:tc>
          <w:tcPr>
            <w:tcW w:w="2343" w:type="dxa"/>
            <w:vAlign w:val="top"/>
          </w:tcPr>
          <w:p w14:paraId="5225AE66">
            <w:pPr>
              <w:pStyle w:val="7"/>
              <w:rPr>
                <w:color w:val="auto"/>
              </w:rPr>
            </w:pPr>
          </w:p>
        </w:tc>
      </w:tr>
      <w:tr w14:paraId="0AB8FE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1" w:hRule="atLeast"/>
        </w:trPr>
        <w:tc>
          <w:tcPr>
            <w:tcW w:w="4223" w:type="dxa"/>
            <w:vAlign w:val="top"/>
          </w:tcPr>
          <w:p w14:paraId="03127A20">
            <w:pPr>
              <w:pStyle w:val="7"/>
              <w:spacing w:line="343" w:lineRule="auto"/>
              <w:rPr>
                <w:color w:val="auto"/>
              </w:rPr>
            </w:pPr>
          </w:p>
          <w:p w14:paraId="5D437B64">
            <w:pPr>
              <w:spacing w:before="68" w:line="224" w:lineRule="auto"/>
              <w:ind w:left="1535"/>
              <w:rPr>
                <w:rFonts w:ascii="宋体" w:hAnsi="宋体" w:eastAsia="宋体" w:cs="宋体"/>
                <w:color w:val="auto"/>
                <w:sz w:val="21"/>
                <w:szCs w:val="21"/>
              </w:rPr>
            </w:pPr>
            <w:r>
              <w:rPr>
                <w:rFonts w:ascii="宋体" w:hAnsi="宋体" w:eastAsia="宋体" w:cs="宋体"/>
                <w:color w:val="auto"/>
                <w:spacing w:val="-7"/>
                <w:sz w:val="21"/>
                <w:szCs w:val="21"/>
              </w:rPr>
              <w:t>是</w:t>
            </w:r>
            <w:r>
              <w:rPr>
                <w:rFonts w:ascii="宋体" w:hAnsi="宋体" w:eastAsia="宋体" w:cs="宋体"/>
                <w:color w:val="auto"/>
                <w:spacing w:val="20"/>
                <w:sz w:val="21"/>
                <w:szCs w:val="21"/>
              </w:rPr>
              <w:t xml:space="preserve"> </w:t>
            </w:r>
            <w:r>
              <w:rPr>
                <w:rFonts w:ascii="宋体" w:hAnsi="宋体" w:eastAsia="宋体" w:cs="宋体"/>
                <w:color w:val="auto"/>
                <w:spacing w:val="-7"/>
                <w:sz w:val="21"/>
                <w:szCs w:val="21"/>
              </w:rPr>
              <w:t>否</w:t>
            </w:r>
            <w:r>
              <w:rPr>
                <w:rFonts w:ascii="宋体" w:hAnsi="宋体" w:eastAsia="宋体" w:cs="宋体"/>
                <w:color w:val="auto"/>
                <w:spacing w:val="11"/>
                <w:sz w:val="21"/>
                <w:szCs w:val="21"/>
              </w:rPr>
              <w:t xml:space="preserve"> </w:t>
            </w:r>
            <w:r>
              <w:rPr>
                <w:rFonts w:ascii="宋体" w:hAnsi="宋体" w:eastAsia="宋体" w:cs="宋体"/>
                <w:color w:val="auto"/>
                <w:spacing w:val="-7"/>
                <w:sz w:val="21"/>
                <w:szCs w:val="21"/>
              </w:rPr>
              <w:t>通</w:t>
            </w:r>
            <w:r>
              <w:rPr>
                <w:rFonts w:ascii="宋体" w:hAnsi="宋体" w:eastAsia="宋体" w:cs="宋体"/>
                <w:color w:val="auto"/>
                <w:spacing w:val="12"/>
                <w:sz w:val="21"/>
                <w:szCs w:val="21"/>
              </w:rPr>
              <w:t xml:space="preserve"> </w:t>
            </w:r>
            <w:r>
              <w:rPr>
                <w:rFonts w:ascii="宋体" w:hAnsi="宋体" w:eastAsia="宋体" w:cs="宋体"/>
                <w:color w:val="auto"/>
                <w:spacing w:val="-7"/>
                <w:sz w:val="21"/>
                <w:szCs w:val="21"/>
              </w:rPr>
              <w:t>过</w:t>
            </w:r>
          </w:p>
        </w:tc>
        <w:tc>
          <w:tcPr>
            <w:tcW w:w="2336" w:type="dxa"/>
            <w:vAlign w:val="top"/>
          </w:tcPr>
          <w:p w14:paraId="01F436B6">
            <w:pPr>
              <w:pStyle w:val="7"/>
              <w:rPr>
                <w:color w:val="auto"/>
              </w:rPr>
            </w:pPr>
          </w:p>
        </w:tc>
        <w:tc>
          <w:tcPr>
            <w:tcW w:w="2336" w:type="dxa"/>
            <w:vAlign w:val="top"/>
          </w:tcPr>
          <w:p w14:paraId="4633D26A">
            <w:pPr>
              <w:pStyle w:val="7"/>
              <w:rPr>
                <w:color w:val="auto"/>
              </w:rPr>
            </w:pPr>
          </w:p>
        </w:tc>
        <w:tc>
          <w:tcPr>
            <w:tcW w:w="2335" w:type="dxa"/>
            <w:vAlign w:val="top"/>
          </w:tcPr>
          <w:p w14:paraId="774AE00C">
            <w:pPr>
              <w:pStyle w:val="7"/>
              <w:rPr>
                <w:color w:val="auto"/>
              </w:rPr>
            </w:pPr>
          </w:p>
        </w:tc>
        <w:tc>
          <w:tcPr>
            <w:tcW w:w="2343" w:type="dxa"/>
            <w:vAlign w:val="top"/>
          </w:tcPr>
          <w:p w14:paraId="3D830B82">
            <w:pPr>
              <w:pStyle w:val="7"/>
              <w:rPr>
                <w:color w:val="auto"/>
              </w:rPr>
            </w:pPr>
          </w:p>
        </w:tc>
      </w:tr>
    </w:tbl>
    <w:p w14:paraId="7CCEC9A4">
      <w:pPr>
        <w:spacing w:before="137" w:line="218" w:lineRule="auto"/>
        <w:ind w:left="57"/>
        <w:rPr>
          <w:rFonts w:ascii="宋体" w:hAnsi="宋体" w:eastAsia="宋体" w:cs="宋体"/>
          <w:color w:val="auto"/>
          <w:sz w:val="24"/>
          <w:szCs w:val="24"/>
        </w:rPr>
      </w:pPr>
      <w:r>
        <w:rPr>
          <w:rFonts w:ascii="宋体" w:hAnsi="宋体" w:eastAsia="宋体" w:cs="宋体"/>
          <w:color w:val="auto"/>
          <w:spacing w:val="-3"/>
          <w:sz w:val="24"/>
          <w:szCs w:val="24"/>
        </w:rPr>
        <w:t>注：资格要求达到的打“</w:t>
      </w:r>
      <w:r>
        <w:rPr>
          <w:rFonts w:ascii="宋体" w:hAnsi="宋体" w:eastAsia="宋体" w:cs="宋体"/>
          <w:color w:val="auto"/>
          <w:spacing w:val="-51"/>
          <w:sz w:val="24"/>
          <w:szCs w:val="24"/>
        </w:rPr>
        <w:t xml:space="preserve"> </w:t>
      </w:r>
      <w:r>
        <w:rPr>
          <w:rFonts w:ascii="宋体" w:hAnsi="宋体" w:eastAsia="宋体" w:cs="宋体"/>
          <w:color w:val="auto"/>
          <w:spacing w:val="-3"/>
          <w:sz w:val="24"/>
          <w:szCs w:val="24"/>
        </w:rPr>
        <w:t>√</w:t>
      </w:r>
      <w:r>
        <w:rPr>
          <w:rFonts w:ascii="宋体" w:hAnsi="宋体" w:eastAsia="宋体" w:cs="宋体"/>
          <w:color w:val="auto"/>
          <w:spacing w:val="-87"/>
          <w:sz w:val="24"/>
          <w:szCs w:val="24"/>
        </w:rPr>
        <w:t xml:space="preserve"> </w:t>
      </w:r>
      <w:r>
        <w:rPr>
          <w:rFonts w:ascii="宋体" w:hAnsi="宋体" w:eastAsia="宋体" w:cs="宋体"/>
          <w:color w:val="auto"/>
          <w:spacing w:val="-3"/>
          <w:sz w:val="24"/>
          <w:szCs w:val="24"/>
        </w:rPr>
        <w:t>”,</w:t>
      </w:r>
      <w:r>
        <w:rPr>
          <w:rFonts w:ascii="宋体" w:hAnsi="宋体" w:eastAsia="宋体" w:cs="宋体"/>
          <w:color w:val="auto"/>
          <w:spacing w:val="67"/>
          <w:sz w:val="24"/>
          <w:szCs w:val="24"/>
        </w:rPr>
        <w:t xml:space="preserve"> </w:t>
      </w:r>
      <w:r>
        <w:rPr>
          <w:rFonts w:ascii="宋体" w:hAnsi="宋体" w:eastAsia="宋体" w:cs="宋体"/>
          <w:color w:val="auto"/>
          <w:spacing w:val="-3"/>
          <w:sz w:val="24"/>
          <w:szCs w:val="24"/>
        </w:rPr>
        <w:t>不达到打“</w:t>
      </w:r>
      <w:r>
        <w:rPr>
          <w:rFonts w:ascii="宋体" w:hAnsi="宋体" w:eastAsia="宋体" w:cs="宋体"/>
          <w:color w:val="auto"/>
          <w:spacing w:val="-76"/>
          <w:sz w:val="24"/>
          <w:szCs w:val="24"/>
        </w:rPr>
        <w:t xml:space="preserve"> </w:t>
      </w:r>
      <w:r>
        <w:rPr>
          <w:rFonts w:ascii="宋体" w:hAnsi="宋体" w:eastAsia="宋体" w:cs="宋体"/>
          <w:color w:val="auto"/>
          <w:spacing w:val="-3"/>
          <w:sz w:val="24"/>
          <w:szCs w:val="24"/>
        </w:rPr>
        <w:t>×</w:t>
      </w:r>
      <w:r>
        <w:rPr>
          <w:rFonts w:ascii="宋体" w:hAnsi="宋体" w:eastAsia="宋体" w:cs="宋体"/>
          <w:color w:val="auto"/>
          <w:spacing w:val="-87"/>
          <w:sz w:val="24"/>
          <w:szCs w:val="24"/>
        </w:rPr>
        <w:t xml:space="preserve"> </w:t>
      </w:r>
      <w:r>
        <w:rPr>
          <w:rFonts w:ascii="宋体" w:hAnsi="宋体" w:eastAsia="宋体" w:cs="宋体"/>
          <w:color w:val="auto"/>
          <w:spacing w:val="-3"/>
          <w:sz w:val="24"/>
          <w:szCs w:val="24"/>
        </w:rPr>
        <w:t>”。全部</w:t>
      </w:r>
      <w:r>
        <w:rPr>
          <w:rFonts w:ascii="宋体" w:hAnsi="宋体" w:eastAsia="宋体" w:cs="宋体"/>
          <w:color w:val="auto"/>
          <w:spacing w:val="-4"/>
          <w:sz w:val="24"/>
          <w:szCs w:val="24"/>
        </w:rPr>
        <w:t>达到填写“通过</w:t>
      </w:r>
      <w:r>
        <w:rPr>
          <w:rFonts w:ascii="宋体" w:hAnsi="宋体" w:eastAsia="宋体" w:cs="宋体"/>
          <w:color w:val="auto"/>
          <w:spacing w:val="-88"/>
          <w:sz w:val="24"/>
          <w:szCs w:val="24"/>
        </w:rPr>
        <w:t xml:space="preserve"> </w:t>
      </w:r>
      <w:r>
        <w:rPr>
          <w:rFonts w:ascii="宋体" w:hAnsi="宋体" w:eastAsia="宋体" w:cs="宋体"/>
          <w:color w:val="auto"/>
          <w:spacing w:val="-4"/>
          <w:sz w:val="24"/>
          <w:szCs w:val="24"/>
        </w:rPr>
        <w:t>”。有一项不达到的不能进入下一阶段。</w:t>
      </w:r>
    </w:p>
    <w:p w14:paraId="0BE2432F">
      <w:pPr>
        <w:spacing w:before="230" w:line="223" w:lineRule="auto"/>
        <w:ind w:left="57"/>
        <w:rPr>
          <w:rFonts w:ascii="宋体" w:hAnsi="宋体" w:eastAsia="宋体" w:cs="宋体"/>
          <w:color w:val="auto"/>
          <w:sz w:val="27"/>
          <w:szCs w:val="27"/>
        </w:rPr>
      </w:pPr>
      <w:r>
        <w:rPr>
          <w:rFonts w:ascii="宋体" w:hAnsi="宋体" w:eastAsia="宋体" w:cs="宋体"/>
          <w:color w:val="auto"/>
          <w:spacing w:val="1"/>
          <w:sz w:val="27"/>
          <w:szCs w:val="27"/>
        </w:rPr>
        <w:t>评审员签名：</w:t>
      </w:r>
    </w:p>
    <w:p w14:paraId="729F43E9">
      <w:pPr>
        <w:spacing w:line="223" w:lineRule="auto"/>
        <w:rPr>
          <w:rFonts w:ascii="宋体" w:hAnsi="宋体" w:eastAsia="宋体" w:cs="宋体"/>
          <w:color w:val="auto"/>
          <w:sz w:val="27"/>
          <w:szCs w:val="27"/>
        </w:rPr>
        <w:sectPr>
          <w:pgSz w:w="16837" w:h="11905"/>
          <w:pgMar w:top="1011" w:right="1632" w:bottom="0" w:left="1620" w:header="0" w:footer="0" w:gutter="0"/>
          <w:cols w:space="720" w:num="1"/>
        </w:sectPr>
      </w:pPr>
    </w:p>
    <w:p w14:paraId="5BF71723">
      <w:pPr>
        <w:spacing w:before="54" w:line="221" w:lineRule="auto"/>
        <w:jc w:val="center"/>
        <w:rPr>
          <w:rFonts w:ascii="宋体" w:hAnsi="宋体" w:eastAsia="宋体" w:cs="宋体"/>
          <w:color w:val="auto"/>
          <w:sz w:val="27"/>
          <w:szCs w:val="27"/>
        </w:rPr>
      </w:pPr>
      <w:r>
        <w:rPr>
          <w:rFonts w:hint="eastAsia" w:ascii="宋体" w:hAnsi="宋体" w:eastAsia="宋体" w:cs="宋体"/>
          <w:color w:val="auto"/>
          <w:sz w:val="27"/>
          <w:szCs w:val="27"/>
          <w:lang w:eastAsia="zh-CN"/>
        </w:rPr>
        <w:t>江门市农业科技创新中心</w:t>
      </w:r>
      <w:r>
        <w:rPr>
          <w:rFonts w:ascii="宋体" w:hAnsi="宋体" w:eastAsia="宋体" w:cs="宋体"/>
          <w:color w:val="auto"/>
          <w:sz w:val="27"/>
          <w:szCs w:val="27"/>
        </w:rPr>
        <w:t>2026-202</w:t>
      </w:r>
      <w:r>
        <w:rPr>
          <w:rFonts w:hint="eastAsia" w:ascii="宋体" w:hAnsi="宋体" w:eastAsia="宋体" w:cs="宋体"/>
          <w:color w:val="auto"/>
          <w:sz w:val="27"/>
          <w:szCs w:val="27"/>
          <w:lang w:val="en-US" w:eastAsia="zh-CN"/>
        </w:rPr>
        <w:t>7</w:t>
      </w:r>
      <w:r>
        <w:rPr>
          <w:rFonts w:ascii="宋体" w:hAnsi="宋体" w:eastAsia="宋体" w:cs="宋体"/>
          <w:color w:val="auto"/>
          <w:sz w:val="27"/>
          <w:szCs w:val="27"/>
        </w:rPr>
        <w:t>年度公务用车定点</w:t>
      </w:r>
    </w:p>
    <w:p w14:paraId="6B3FA0D8">
      <w:pPr>
        <w:spacing w:before="54" w:line="221" w:lineRule="auto"/>
        <w:jc w:val="center"/>
        <w:rPr>
          <w:rFonts w:ascii="宋体" w:hAnsi="宋体" w:eastAsia="宋体" w:cs="宋体"/>
          <w:color w:val="auto"/>
          <w:sz w:val="27"/>
          <w:szCs w:val="27"/>
        </w:rPr>
      </w:pPr>
      <w:r>
        <w:rPr>
          <w:rFonts w:ascii="宋体" w:hAnsi="宋体" w:eastAsia="宋体" w:cs="宋体"/>
          <w:color w:val="auto"/>
          <w:sz w:val="27"/>
          <w:szCs w:val="27"/>
        </w:rPr>
        <w:t>维修保养服务</w:t>
      </w:r>
      <w:r>
        <w:rPr>
          <w:rFonts w:ascii="宋体" w:hAnsi="宋体" w:eastAsia="宋体" w:cs="宋体"/>
          <w:color w:val="auto"/>
          <w:spacing w:val="1"/>
          <w:sz w:val="27"/>
          <w:szCs w:val="27"/>
        </w:rPr>
        <w:t>项目综合评审表</w:t>
      </w:r>
    </w:p>
    <w:p w14:paraId="599A1FE4">
      <w:pPr>
        <w:spacing w:line="63" w:lineRule="exact"/>
        <w:rPr>
          <w:color w:val="auto"/>
        </w:rPr>
      </w:pPr>
    </w:p>
    <w:tbl>
      <w:tblPr>
        <w:tblStyle w:val="6"/>
        <w:tblW w:w="91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7"/>
        <w:gridCol w:w="853"/>
        <w:gridCol w:w="854"/>
        <w:gridCol w:w="3133"/>
        <w:gridCol w:w="532"/>
        <w:gridCol w:w="854"/>
        <w:gridCol w:w="853"/>
        <w:gridCol w:w="854"/>
        <w:gridCol w:w="859"/>
      </w:tblGrid>
      <w:tr w14:paraId="510A93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327" w:type="dxa"/>
            <w:vMerge w:val="restart"/>
            <w:tcBorders>
              <w:bottom w:val="nil"/>
            </w:tcBorders>
            <w:vAlign w:val="top"/>
          </w:tcPr>
          <w:p w14:paraId="4EFF4CDC">
            <w:pPr>
              <w:pStyle w:val="7"/>
              <w:spacing w:line="468" w:lineRule="auto"/>
              <w:rPr>
                <w:color w:val="auto"/>
              </w:rPr>
            </w:pPr>
          </w:p>
          <w:p w14:paraId="43F72D49">
            <w:pPr>
              <w:spacing w:before="52" w:line="224" w:lineRule="auto"/>
              <w:ind w:left="86"/>
              <w:rPr>
                <w:rFonts w:ascii="宋体" w:hAnsi="宋体" w:eastAsia="宋体" w:cs="宋体"/>
                <w:color w:val="auto"/>
                <w:sz w:val="16"/>
                <w:szCs w:val="16"/>
              </w:rPr>
            </w:pPr>
            <w:r>
              <w:rPr>
                <w:rFonts w:ascii="宋体" w:hAnsi="宋体" w:eastAsia="宋体" w:cs="宋体"/>
                <w:b/>
                <w:bCs/>
                <w:color w:val="auto"/>
                <w:spacing w:val="-2"/>
                <w:sz w:val="16"/>
                <w:szCs w:val="16"/>
              </w:rPr>
              <w:t>序</w:t>
            </w:r>
          </w:p>
        </w:tc>
        <w:tc>
          <w:tcPr>
            <w:tcW w:w="853" w:type="dxa"/>
            <w:vMerge w:val="restart"/>
            <w:tcBorders>
              <w:bottom w:val="nil"/>
            </w:tcBorders>
            <w:vAlign w:val="top"/>
          </w:tcPr>
          <w:p w14:paraId="2C0BA34A">
            <w:pPr>
              <w:pStyle w:val="7"/>
              <w:spacing w:line="367" w:lineRule="auto"/>
              <w:rPr>
                <w:color w:val="auto"/>
              </w:rPr>
            </w:pPr>
          </w:p>
          <w:p w14:paraId="087400A5">
            <w:pPr>
              <w:spacing w:before="52" w:line="221" w:lineRule="auto"/>
              <w:ind w:left="236" w:right="172" w:hanging="51"/>
              <w:rPr>
                <w:rFonts w:ascii="宋体" w:hAnsi="宋体" w:eastAsia="宋体" w:cs="宋体"/>
                <w:color w:val="auto"/>
                <w:sz w:val="16"/>
                <w:szCs w:val="16"/>
              </w:rPr>
            </w:pPr>
            <w:r>
              <w:rPr>
                <w:rFonts w:ascii="宋体" w:hAnsi="宋体" w:eastAsia="宋体" w:cs="宋体"/>
                <w:b/>
                <w:bCs/>
                <w:color w:val="auto"/>
                <w:sz w:val="16"/>
                <w:szCs w:val="16"/>
              </w:rPr>
              <w:t>评分项</w:t>
            </w:r>
            <w:r>
              <w:rPr>
                <w:rFonts w:ascii="Times New Roman" w:hAnsi="Times New Roman" w:eastAsia="Times New Roman" w:cs="Times New Roman"/>
                <w:b/>
                <w:bCs/>
                <w:color w:val="auto"/>
                <w:spacing w:val="1"/>
                <w:sz w:val="16"/>
                <w:szCs w:val="16"/>
              </w:rPr>
              <w:t>/</w:t>
            </w:r>
            <w:r>
              <w:rPr>
                <w:rFonts w:ascii="宋体" w:hAnsi="宋体" w:eastAsia="宋体" w:cs="宋体"/>
                <w:b/>
                <w:bCs/>
                <w:color w:val="auto"/>
                <w:spacing w:val="1"/>
                <w:sz w:val="16"/>
                <w:szCs w:val="16"/>
              </w:rPr>
              <w:t>分值</w:t>
            </w:r>
          </w:p>
        </w:tc>
        <w:tc>
          <w:tcPr>
            <w:tcW w:w="854" w:type="dxa"/>
            <w:vMerge w:val="restart"/>
            <w:tcBorders>
              <w:bottom w:val="nil"/>
            </w:tcBorders>
            <w:vAlign w:val="top"/>
          </w:tcPr>
          <w:p w14:paraId="66781DF5">
            <w:pPr>
              <w:pStyle w:val="7"/>
              <w:spacing w:line="468" w:lineRule="auto"/>
              <w:rPr>
                <w:color w:val="auto"/>
              </w:rPr>
            </w:pPr>
          </w:p>
          <w:p w14:paraId="1F40E3C9">
            <w:pPr>
              <w:spacing w:before="52" w:line="224" w:lineRule="auto"/>
              <w:ind w:left="104"/>
              <w:rPr>
                <w:rFonts w:ascii="宋体" w:hAnsi="宋体" w:eastAsia="宋体" w:cs="宋体"/>
                <w:color w:val="auto"/>
                <w:sz w:val="16"/>
                <w:szCs w:val="16"/>
              </w:rPr>
            </w:pPr>
            <w:r>
              <w:rPr>
                <w:rFonts w:ascii="宋体" w:hAnsi="宋体" w:eastAsia="宋体" w:cs="宋体"/>
                <w:b/>
                <w:bCs/>
                <w:color w:val="auto"/>
                <w:sz w:val="16"/>
                <w:szCs w:val="16"/>
              </w:rPr>
              <w:t>评分项目</w:t>
            </w:r>
          </w:p>
        </w:tc>
        <w:tc>
          <w:tcPr>
            <w:tcW w:w="3133" w:type="dxa"/>
            <w:vMerge w:val="restart"/>
            <w:tcBorders>
              <w:bottom w:val="nil"/>
            </w:tcBorders>
            <w:vAlign w:val="top"/>
          </w:tcPr>
          <w:p w14:paraId="3CCEA9FD">
            <w:pPr>
              <w:pStyle w:val="7"/>
              <w:spacing w:line="468" w:lineRule="auto"/>
              <w:rPr>
                <w:color w:val="auto"/>
              </w:rPr>
            </w:pPr>
          </w:p>
          <w:p w14:paraId="3031AF1B">
            <w:pPr>
              <w:spacing w:before="52" w:line="224" w:lineRule="auto"/>
              <w:ind w:left="1247"/>
              <w:rPr>
                <w:rFonts w:ascii="宋体" w:hAnsi="宋体" w:eastAsia="宋体" w:cs="宋体"/>
                <w:color w:val="auto"/>
                <w:sz w:val="16"/>
                <w:szCs w:val="16"/>
              </w:rPr>
            </w:pPr>
            <w:r>
              <w:rPr>
                <w:rFonts w:ascii="宋体" w:hAnsi="宋体" w:eastAsia="宋体" w:cs="宋体"/>
                <w:b/>
                <w:bCs/>
                <w:color w:val="auto"/>
                <w:sz w:val="16"/>
                <w:szCs w:val="16"/>
              </w:rPr>
              <w:t>评分标准</w:t>
            </w:r>
          </w:p>
        </w:tc>
        <w:tc>
          <w:tcPr>
            <w:tcW w:w="532" w:type="dxa"/>
            <w:vMerge w:val="restart"/>
            <w:tcBorders>
              <w:bottom w:val="nil"/>
            </w:tcBorders>
            <w:vAlign w:val="top"/>
          </w:tcPr>
          <w:p w14:paraId="0708B0D4">
            <w:pPr>
              <w:pStyle w:val="7"/>
              <w:spacing w:line="280" w:lineRule="auto"/>
              <w:rPr>
                <w:color w:val="auto"/>
              </w:rPr>
            </w:pPr>
          </w:p>
          <w:p w14:paraId="43A14B00">
            <w:pPr>
              <w:spacing w:before="52" w:line="231" w:lineRule="auto"/>
              <w:ind w:left="56" w:right="44" w:firstLine="56"/>
              <w:jc w:val="both"/>
              <w:rPr>
                <w:rFonts w:ascii="宋体" w:hAnsi="宋体" w:eastAsia="宋体" w:cs="宋体"/>
                <w:color w:val="auto"/>
                <w:sz w:val="14"/>
                <w:szCs w:val="14"/>
              </w:rPr>
            </w:pPr>
            <w:r>
              <w:rPr>
                <w:rFonts w:ascii="宋体" w:hAnsi="宋体" w:eastAsia="宋体" w:cs="宋体"/>
                <w:b/>
                <w:bCs/>
                <w:color w:val="auto"/>
                <w:spacing w:val="-2"/>
                <w:sz w:val="16"/>
                <w:szCs w:val="16"/>
              </w:rPr>
              <w:t>单项</w:t>
            </w:r>
            <w:r>
              <w:rPr>
                <w:rFonts w:ascii="宋体" w:hAnsi="宋体" w:eastAsia="宋体" w:cs="宋体"/>
                <w:b/>
                <w:bCs/>
                <w:color w:val="auto"/>
                <w:spacing w:val="26"/>
                <w:sz w:val="16"/>
                <w:szCs w:val="16"/>
              </w:rPr>
              <w:t>分数</w:t>
            </w:r>
            <w:r>
              <w:rPr>
                <w:rFonts w:ascii="宋体" w:hAnsi="宋体" w:eastAsia="宋体" w:cs="宋体"/>
                <w:b/>
                <w:bCs/>
                <w:color w:val="auto"/>
                <w:spacing w:val="-2"/>
                <w:sz w:val="14"/>
                <w:szCs w:val="14"/>
              </w:rPr>
              <w:t>（分）</w:t>
            </w:r>
          </w:p>
        </w:tc>
        <w:tc>
          <w:tcPr>
            <w:tcW w:w="3420" w:type="dxa"/>
            <w:gridSpan w:val="4"/>
            <w:vAlign w:val="top"/>
          </w:tcPr>
          <w:p w14:paraId="52C8721E">
            <w:pPr>
              <w:spacing w:before="62" w:line="224" w:lineRule="auto"/>
              <w:ind w:left="1475"/>
              <w:rPr>
                <w:rFonts w:ascii="宋体" w:hAnsi="宋体" w:eastAsia="宋体" w:cs="宋体"/>
                <w:color w:val="auto"/>
                <w:sz w:val="16"/>
                <w:szCs w:val="16"/>
              </w:rPr>
            </w:pPr>
            <w:r>
              <w:rPr>
                <w:rFonts w:ascii="宋体" w:hAnsi="宋体" w:eastAsia="宋体" w:cs="宋体"/>
                <w:b/>
                <w:bCs/>
                <w:color w:val="auto"/>
                <w:spacing w:val="-1"/>
                <w:sz w:val="16"/>
                <w:szCs w:val="16"/>
              </w:rPr>
              <w:t>投标人</w:t>
            </w:r>
          </w:p>
        </w:tc>
      </w:tr>
      <w:tr w14:paraId="5C5B04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1" w:hRule="atLeast"/>
        </w:trPr>
        <w:tc>
          <w:tcPr>
            <w:tcW w:w="327" w:type="dxa"/>
            <w:vMerge w:val="continue"/>
            <w:tcBorders>
              <w:top w:val="nil"/>
            </w:tcBorders>
            <w:vAlign w:val="top"/>
          </w:tcPr>
          <w:p w14:paraId="5D20E459">
            <w:pPr>
              <w:pStyle w:val="7"/>
              <w:rPr>
                <w:color w:val="auto"/>
              </w:rPr>
            </w:pPr>
          </w:p>
        </w:tc>
        <w:tc>
          <w:tcPr>
            <w:tcW w:w="853" w:type="dxa"/>
            <w:vMerge w:val="continue"/>
            <w:tcBorders>
              <w:top w:val="nil"/>
            </w:tcBorders>
            <w:vAlign w:val="top"/>
          </w:tcPr>
          <w:p w14:paraId="6A4E026A">
            <w:pPr>
              <w:pStyle w:val="7"/>
              <w:rPr>
                <w:color w:val="auto"/>
              </w:rPr>
            </w:pPr>
          </w:p>
        </w:tc>
        <w:tc>
          <w:tcPr>
            <w:tcW w:w="854" w:type="dxa"/>
            <w:vMerge w:val="continue"/>
            <w:tcBorders>
              <w:top w:val="nil"/>
            </w:tcBorders>
            <w:vAlign w:val="top"/>
          </w:tcPr>
          <w:p w14:paraId="71772D77">
            <w:pPr>
              <w:pStyle w:val="7"/>
              <w:rPr>
                <w:color w:val="auto"/>
              </w:rPr>
            </w:pPr>
          </w:p>
        </w:tc>
        <w:tc>
          <w:tcPr>
            <w:tcW w:w="3133" w:type="dxa"/>
            <w:vMerge w:val="continue"/>
            <w:tcBorders>
              <w:top w:val="nil"/>
            </w:tcBorders>
            <w:vAlign w:val="top"/>
          </w:tcPr>
          <w:p w14:paraId="25E73E98">
            <w:pPr>
              <w:pStyle w:val="7"/>
              <w:rPr>
                <w:color w:val="auto"/>
              </w:rPr>
            </w:pPr>
          </w:p>
        </w:tc>
        <w:tc>
          <w:tcPr>
            <w:tcW w:w="532" w:type="dxa"/>
            <w:vMerge w:val="continue"/>
            <w:tcBorders>
              <w:top w:val="nil"/>
            </w:tcBorders>
            <w:vAlign w:val="top"/>
          </w:tcPr>
          <w:p w14:paraId="222F737B">
            <w:pPr>
              <w:pStyle w:val="7"/>
              <w:rPr>
                <w:color w:val="auto"/>
              </w:rPr>
            </w:pPr>
          </w:p>
        </w:tc>
        <w:tc>
          <w:tcPr>
            <w:tcW w:w="854" w:type="dxa"/>
            <w:vAlign w:val="top"/>
          </w:tcPr>
          <w:p w14:paraId="31C2EA33">
            <w:pPr>
              <w:pStyle w:val="7"/>
              <w:rPr>
                <w:color w:val="auto"/>
              </w:rPr>
            </w:pPr>
          </w:p>
        </w:tc>
        <w:tc>
          <w:tcPr>
            <w:tcW w:w="853" w:type="dxa"/>
            <w:vAlign w:val="top"/>
          </w:tcPr>
          <w:p w14:paraId="02CD6335">
            <w:pPr>
              <w:pStyle w:val="7"/>
              <w:rPr>
                <w:color w:val="auto"/>
              </w:rPr>
            </w:pPr>
          </w:p>
        </w:tc>
        <w:tc>
          <w:tcPr>
            <w:tcW w:w="854" w:type="dxa"/>
            <w:vAlign w:val="top"/>
          </w:tcPr>
          <w:p w14:paraId="5379C3CC">
            <w:pPr>
              <w:pStyle w:val="7"/>
              <w:rPr>
                <w:color w:val="auto"/>
              </w:rPr>
            </w:pPr>
          </w:p>
        </w:tc>
        <w:tc>
          <w:tcPr>
            <w:tcW w:w="859" w:type="dxa"/>
            <w:vAlign w:val="top"/>
          </w:tcPr>
          <w:p w14:paraId="7A3994A2">
            <w:pPr>
              <w:pStyle w:val="7"/>
              <w:rPr>
                <w:color w:val="auto"/>
              </w:rPr>
            </w:pPr>
          </w:p>
        </w:tc>
      </w:tr>
      <w:tr w14:paraId="505D3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7" w:hRule="atLeast"/>
        </w:trPr>
        <w:tc>
          <w:tcPr>
            <w:tcW w:w="327" w:type="dxa"/>
            <w:vAlign w:val="top"/>
          </w:tcPr>
          <w:p w14:paraId="7A0081F5">
            <w:pPr>
              <w:pStyle w:val="7"/>
              <w:spacing w:line="241" w:lineRule="auto"/>
              <w:rPr>
                <w:color w:val="auto"/>
              </w:rPr>
            </w:pPr>
          </w:p>
          <w:p w14:paraId="39CBC275">
            <w:pPr>
              <w:pStyle w:val="7"/>
              <w:spacing w:line="241" w:lineRule="auto"/>
              <w:rPr>
                <w:color w:val="auto"/>
              </w:rPr>
            </w:pPr>
          </w:p>
          <w:p w14:paraId="3B18CCC3">
            <w:pPr>
              <w:spacing w:before="52" w:line="212" w:lineRule="exact"/>
              <w:ind w:left="140"/>
              <w:rPr>
                <w:rFonts w:ascii="宋体" w:hAnsi="宋体" w:eastAsia="宋体" w:cs="宋体"/>
                <w:color w:val="auto"/>
                <w:sz w:val="16"/>
                <w:szCs w:val="16"/>
              </w:rPr>
            </w:pPr>
            <w:r>
              <w:rPr>
                <w:rFonts w:ascii="宋体" w:hAnsi="宋体" w:eastAsia="宋体" w:cs="宋体"/>
                <w:color w:val="auto"/>
                <w:position w:val="1"/>
                <w:sz w:val="16"/>
                <w:szCs w:val="16"/>
              </w:rPr>
              <w:t>1</w:t>
            </w:r>
          </w:p>
        </w:tc>
        <w:tc>
          <w:tcPr>
            <w:tcW w:w="853" w:type="dxa"/>
            <w:vMerge w:val="restart"/>
            <w:tcBorders>
              <w:bottom w:val="nil"/>
            </w:tcBorders>
            <w:vAlign w:val="top"/>
          </w:tcPr>
          <w:p w14:paraId="434B6F0B">
            <w:pPr>
              <w:pStyle w:val="7"/>
              <w:spacing w:line="253" w:lineRule="auto"/>
              <w:rPr>
                <w:color w:val="auto"/>
              </w:rPr>
            </w:pPr>
          </w:p>
          <w:p w14:paraId="6A706311">
            <w:pPr>
              <w:pStyle w:val="7"/>
              <w:spacing w:line="253" w:lineRule="auto"/>
              <w:rPr>
                <w:color w:val="auto"/>
              </w:rPr>
            </w:pPr>
          </w:p>
          <w:p w14:paraId="04EA45A7">
            <w:pPr>
              <w:pStyle w:val="7"/>
              <w:spacing w:line="253" w:lineRule="auto"/>
              <w:rPr>
                <w:color w:val="auto"/>
              </w:rPr>
            </w:pPr>
          </w:p>
          <w:p w14:paraId="08EA9496">
            <w:pPr>
              <w:pStyle w:val="7"/>
              <w:spacing w:line="253" w:lineRule="auto"/>
              <w:rPr>
                <w:color w:val="auto"/>
              </w:rPr>
            </w:pPr>
          </w:p>
          <w:p w14:paraId="759CC49B">
            <w:pPr>
              <w:pStyle w:val="7"/>
              <w:spacing w:line="253" w:lineRule="auto"/>
              <w:rPr>
                <w:color w:val="auto"/>
              </w:rPr>
            </w:pPr>
          </w:p>
          <w:p w14:paraId="1ECDE19F">
            <w:pPr>
              <w:pStyle w:val="7"/>
              <w:spacing w:line="253" w:lineRule="auto"/>
              <w:rPr>
                <w:color w:val="auto"/>
              </w:rPr>
            </w:pPr>
          </w:p>
          <w:p w14:paraId="7DD74A89">
            <w:pPr>
              <w:spacing w:before="52" w:line="454" w:lineRule="auto"/>
              <w:ind w:left="111" w:right="91" w:hanging="2"/>
              <w:rPr>
                <w:rFonts w:ascii="宋体" w:hAnsi="宋体" w:eastAsia="宋体" w:cs="宋体"/>
                <w:color w:val="auto"/>
                <w:sz w:val="16"/>
                <w:szCs w:val="16"/>
              </w:rPr>
            </w:pPr>
            <w:r>
              <w:rPr>
                <w:rFonts w:ascii="宋体" w:hAnsi="宋体" w:eastAsia="宋体" w:cs="宋体"/>
                <w:color w:val="auto"/>
                <w:sz w:val="16"/>
                <w:szCs w:val="16"/>
              </w:rPr>
              <w:t>商务评分</w:t>
            </w:r>
            <w:r>
              <w:rPr>
                <w:rFonts w:ascii="宋体" w:hAnsi="宋体" w:eastAsia="宋体" w:cs="宋体"/>
                <w:color w:val="auto"/>
                <w:spacing w:val="-2"/>
                <w:sz w:val="16"/>
                <w:szCs w:val="16"/>
              </w:rPr>
              <w:t>（40分）</w:t>
            </w:r>
          </w:p>
        </w:tc>
        <w:tc>
          <w:tcPr>
            <w:tcW w:w="854" w:type="dxa"/>
            <w:vAlign w:val="top"/>
          </w:tcPr>
          <w:p w14:paraId="35CABC27">
            <w:pPr>
              <w:pStyle w:val="7"/>
              <w:spacing w:line="241" w:lineRule="auto"/>
              <w:rPr>
                <w:color w:val="auto"/>
              </w:rPr>
            </w:pPr>
          </w:p>
          <w:p w14:paraId="68B82A31">
            <w:pPr>
              <w:pStyle w:val="7"/>
              <w:spacing w:line="241" w:lineRule="auto"/>
              <w:rPr>
                <w:color w:val="auto"/>
              </w:rPr>
            </w:pPr>
          </w:p>
          <w:p w14:paraId="3C4D1134">
            <w:pPr>
              <w:spacing w:before="52" w:line="222" w:lineRule="auto"/>
              <w:ind w:left="28"/>
              <w:rPr>
                <w:rFonts w:ascii="宋体" w:hAnsi="宋体" w:eastAsia="宋体" w:cs="宋体"/>
                <w:color w:val="auto"/>
                <w:sz w:val="16"/>
                <w:szCs w:val="16"/>
              </w:rPr>
            </w:pPr>
            <w:r>
              <w:rPr>
                <w:rFonts w:ascii="宋体" w:hAnsi="宋体" w:eastAsia="宋体" w:cs="宋体"/>
                <w:color w:val="auto"/>
                <w:spacing w:val="1"/>
                <w:sz w:val="16"/>
                <w:szCs w:val="16"/>
              </w:rPr>
              <w:t>供应商资质</w:t>
            </w:r>
          </w:p>
        </w:tc>
        <w:tc>
          <w:tcPr>
            <w:tcW w:w="3133" w:type="dxa"/>
            <w:vAlign w:val="top"/>
          </w:tcPr>
          <w:p w14:paraId="495DCF13">
            <w:pPr>
              <w:pStyle w:val="7"/>
              <w:spacing w:line="264" w:lineRule="auto"/>
              <w:rPr>
                <w:color w:val="auto"/>
              </w:rPr>
            </w:pPr>
          </w:p>
          <w:p w14:paraId="2FECB7A0">
            <w:pPr>
              <w:spacing w:before="55" w:line="230" w:lineRule="auto"/>
              <w:ind w:left="26" w:hanging="2"/>
              <w:jc w:val="both"/>
              <w:rPr>
                <w:rFonts w:ascii="宋体" w:hAnsi="宋体" w:eastAsia="宋体" w:cs="宋体"/>
                <w:color w:val="auto"/>
                <w:sz w:val="17"/>
                <w:szCs w:val="17"/>
              </w:rPr>
            </w:pPr>
            <w:r>
              <w:rPr>
                <w:rFonts w:ascii="宋体" w:hAnsi="宋体" w:eastAsia="宋体" w:cs="宋体"/>
                <w:color w:val="auto"/>
                <w:spacing w:val="12"/>
                <w:sz w:val="17"/>
                <w:szCs w:val="17"/>
              </w:rPr>
              <w:t>根据竞标单位资质是否齐全、信誉度是</w:t>
            </w:r>
            <w:r>
              <w:rPr>
                <w:rFonts w:ascii="宋体" w:hAnsi="宋体" w:eastAsia="宋体" w:cs="宋体"/>
                <w:color w:val="auto"/>
                <w:spacing w:val="8"/>
                <w:sz w:val="17"/>
                <w:szCs w:val="17"/>
              </w:rPr>
              <w:t>否良好等情况。优10分，</w:t>
            </w:r>
            <w:r>
              <w:rPr>
                <w:rFonts w:ascii="宋体" w:hAnsi="宋体" w:eastAsia="宋体" w:cs="宋体"/>
                <w:color w:val="auto"/>
                <w:spacing w:val="-42"/>
                <w:sz w:val="17"/>
                <w:szCs w:val="17"/>
              </w:rPr>
              <w:t xml:space="preserve"> </w:t>
            </w:r>
            <w:r>
              <w:rPr>
                <w:rFonts w:ascii="宋体" w:hAnsi="宋体" w:eastAsia="宋体" w:cs="宋体"/>
                <w:color w:val="auto"/>
                <w:spacing w:val="8"/>
                <w:sz w:val="17"/>
                <w:szCs w:val="17"/>
              </w:rPr>
              <w:t>良8分，一般6</w:t>
            </w:r>
            <w:r>
              <w:rPr>
                <w:rFonts w:ascii="宋体" w:hAnsi="宋体" w:eastAsia="宋体" w:cs="宋体"/>
                <w:color w:val="auto"/>
                <w:spacing w:val="3"/>
                <w:sz w:val="17"/>
                <w:szCs w:val="17"/>
              </w:rPr>
              <w:t>分，差不得分。</w:t>
            </w:r>
          </w:p>
        </w:tc>
        <w:tc>
          <w:tcPr>
            <w:tcW w:w="532" w:type="dxa"/>
            <w:vAlign w:val="top"/>
          </w:tcPr>
          <w:p w14:paraId="383E7162">
            <w:pPr>
              <w:pStyle w:val="7"/>
              <w:spacing w:line="253" w:lineRule="auto"/>
              <w:rPr>
                <w:color w:val="auto"/>
              </w:rPr>
            </w:pPr>
          </w:p>
          <w:p w14:paraId="42FFB560">
            <w:pPr>
              <w:pStyle w:val="7"/>
              <w:spacing w:line="253" w:lineRule="auto"/>
              <w:rPr>
                <w:color w:val="auto"/>
              </w:rPr>
            </w:pPr>
          </w:p>
          <w:p w14:paraId="4D7D22B2">
            <w:pPr>
              <w:spacing w:before="46" w:line="190" w:lineRule="auto"/>
              <w:ind w:left="197"/>
              <w:rPr>
                <w:rFonts w:ascii="Times New Roman" w:hAnsi="Times New Roman" w:eastAsia="Times New Roman" w:cs="Times New Roman"/>
                <w:color w:val="auto"/>
                <w:sz w:val="16"/>
                <w:szCs w:val="16"/>
              </w:rPr>
            </w:pPr>
            <w:r>
              <w:rPr>
                <w:rFonts w:ascii="Times New Roman" w:hAnsi="Times New Roman" w:eastAsia="Times New Roman" w:cs="Times New Roman"/>
                <w:b/>
                <w:bCs/>
                <w:color w:val="auto"/>
                <w:spacing w:val="-4"/>
                <w:sz w:val="16"/>
                <w:szCs w:val="16"/>
              </w:rPr>
              <w:t>10</w:t>
            </w:r>
          </w:p>
        </w:tc>
        <w:tc>
          <w:tcPr>
            <w:tcW w:w="854" w:type="dxa"/>
            <w:vAlign w:val="top"/>
          </w:tcPr>
          <w:p w14:paraId="0E33F2D1">
            <w:pPr>
              <w:pStyle w:val="7"/>
              <w:rPr>
                <w:color w:val="auto"/>
              </w:rPr>
            </w:pPr>
          </w:p>
        </w:tc>
        <w:tc>
          <w:tcPr>
            <w:tcW w:w="853" w:type="dxa"/>
            <w:vAlign w:val="top"/>
          </w:tcPr>
          <w:p w14:paraId="121B7DFD">
            <w:pPr>
              <w:pStyle w:val="7"/>
              <w:rPr>
                <w:color w:val="auto"/>
              </w:rPr>
            </w:pPr>
          </w:p>
        </w:tc>
        <w:tc>
          <w:tcPr>
            <w:tcW w:w="854" w:type="dxa"/>
            <w:vAlign w:val="top"/>
          </w:tcPr>
          <w:p w14:paraId="1E0DF3EF">
            <w:pPr>
              <w:pStyle w:val="7"/>
              <w:rPr>
                <w:color w:val="auto"/>
              </w:rPr>
            </w:pPr>
          </w:p>
        </w:tc>
        <w:tc>
          <w:tcPr>
            <w:tcW w:w="859" w:type="dxa"/>
            <w:vAlign w:val="top"/>
          </w:tcPr>
          <w:p w14:paraId="35CBFF81">
            <w:pPr>
              <w:pStyle w:val="7"/>
              <w:rPr>
                <w:color w:val="auto"/>
              </w:rPr>
            </w:pPr>
          </w:p>
        </w:tc>
      </w:tr>
      <w:tr w14:paraId="0A3936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7" w:hRule="atLeast"/>
        </w:trPr>
        <w:tc>
          <w:tcPr>
            <w:tcW w:w="327" w:type="dxa"/>
            <w:vAlign w:val="top"/>
          </w:tcPr>
          <w:p w14:paraId="582BF8E3">
            <w:pPr>
              <w:pStyle w:val="7"/>
              <w:spacing w:line="242" w:lineRule="auto"/>
              <w:rPr>
                <w:color w:val="auto"/>
              </w:rPr>
            </w:pPr>
          </w:p>
          <w:p w14:paraId="2FE9346D">
            <w:pPr>
              <w:pStyle w:val="7"/>
              <w:spacing w:line="243" w:lineRule="auto"/>
              <w:rPr>
                <w:color w:val="auto"/>
              </w:rPr>
            </w:pPr>
          </w:p>
          <w:p w14:paraId="00E8116B">
            <w:pPr>
              <w:spacing w:before="52" w:line="212" w:lineRule="exact"/>
              <w:ind w:left="130"/>
              <w:rPr>
                <w:rFonts w:ascii="宋体" w:hAnsi="宋体" w:eastAsia="宋体" w:cs="宋体"/>
                <w:color w:val="auto"/>
                <w:sz w:val="16"/>
                <w:szCs w:val="16"/>
              </w:rPr>
            </w:pPr>
            <w:r>
              <w:rPr>
                <w:rFonts w:ascii="宋体" w:hAnsi="宋体" w:eastAsia="宋体" w:cs="宋体"/>
                <w:color w:val="auto"/>
                <w:position w:val="1"/>
                <w:sz w:val="16"/>
                <w:szCs w:val="16"/>
              </w:rPr>
              <w:t>2</w:t>
            </w:r>
          </w:p>
        </w:tc>
        <w:tc>
          <w:tcPr>
            <w:tcW w:w="853" w:type="dxa"/>
            <w:vMerge w:val="continue"/>
            <w:tcBorders>
              <w:top w:val="nil"/>
              <w:bottom w:val="nil"/>
            </w:tcBorders>
            <w:vAlign w:val="top"/>
          </w:tcPr>
          <w:p w14:paraId="69EFAF6A">
            <w:pPr>
              <w:pStyle w:val="7"/>
              <w:rPr>
                <w:color w:val="auto"/>
              </w:rPr>
            </w:pPr>
          </w:p>
        </w:tc>
        <w:tc>
          <w:tcPr>
            <w:tcW w:w="854" w:type="dxa"/>
            <w:vAlign w:val="top"/>
          </w:tcPr>
          <w:p w14:paraId="0D5E589C">
            <w:pPr>
              <w:pStyle w:val="7"/>
              <w:spacing w:line="242" w:lineRule="auto"/>
              <w:rPr>
                <w:color w:val="auto"/>
              </w:rPr>
            </w:pPr>
          </w:p>
          <w:p w14:paraId="410D2D96">
            <w:pPr>
              <w:pStyle w:val="7"/>
              <w:spacing w:line="243" w:lineRule="auto"/>
              <w:rPr>
                <w:color w:val="auto"/>
              </w:rPr>
            </w:pPr>
          </w:p>
          <w:p w14:paraId="29F1073C">
            <w:pPr>
              <w:spacing w:before="52" w:line="224" w:lineRule="auto"/>
              <w:ind w:left="109"/>
              <w:rPr>
                <w:rFonts w:ascii="宋体" w:hAnsi="宋体" w:eastAsia="宋体" w:cs="宋体"/>
                <w:color w:val="auto"/>
                <w:sz w:val="16"/>
                <w:szCs w:val="16"/>
              </w:rPr>
            </w:pPr>
            <w:r>
              <w:rPr>
                <w:rFonts w:ascii="宋体" w:hAnsi="宋体" w:eastAsia="宋体" w:cs="宋体"/>
                <w:color w:val="auto"/>
                <w:spacing w:val="1"/>
                <w:sz w:val="16"/>
                <w:szCs w:val="16"/>
              </w:rPr>
              <w:t>经营业绩</w:t>
            </w:r>
          </w:p>
        </w:tc>
        <w:tc>
          <w:tcPr>
            <w:tcW w:w="3133" w:type="dxa"/>
            <w:vAlign w:val="top"/>
          </w:tcPr>
          <w:p w14:paraId="110B7706">
            <w:pPr>
              <w:spacing w:before="218" w:line="229" w:lineRule="auto"/>
              <w:ind w:left="24" w:firstLine="1"/>
              <w:jc w:val="both"/>
              <w:rPr>
                <w:rFonts w:ascii="宋体" w:hAnsi="宋体" w:eastAsia="宋体" w:cs="宋体"/>
                <w:color w:val="auto"/>
                <w:sz w:val="17"/>
                <w:szCs w:val="17"/>
              </w:rPr>
            </w:pPr>
            <w:r>
              <w:rPr>
                <w:rFonts w:ascii="宋体" w:hAnsi="宋体" w:eastAsia="宋体" w:cs="宋体"/>
                <w:color w:val="auto"/>
                <w:spacing w:val="5"/>
                <w:sz w:val="17"/>
                <w:szCs w:val="17"/>
              </w:rPr>
              <w:t>2019年以来的同类项目业绩,每提交一份</w:t>
            </w:r>
            <w:r>
              <w:rPr>
                <w:rFonts w:ascii="宋体" w:hAnsi="宋体" w:eastAsia="宋体" w:cs="宋体"/>
                <w:color w:val="auto"/>
                <w:spacing w:val="6"/>
                <w:sz w:val="17"/>
                <w:szCs w:val="17"/>
              </w:rPr>
              <w:t>合同或维修单据（含验收文件）得2分，</w:t>
            </w:r>
            <w:r>
              <w:rPr>
                <w:rFonts w:ascii="宋体" w:hAnsi="宋体" w:eastAsia="宋体" w:cs="宋体"/>
                <w:color w:val="auto"/>
                <w:spacing w:val="11"/>
                <w:sz w:val="17"/>
                <w:szCs w:val="17"/>
              </w:rPr>
              <w:t>最高得10分。提供不完整或者未按要求</w:t>
            </w:r>
            <w:r>
              <w:rPr>
                <w:rFonts w:ascii="宋体" w:hAnsi="宋体" w:eastAsia="宋体" w:cs="宋体"/>
                <w:color w:val="auto"/>
                <w:spacing w:val="3"/>
                <w:sz w:val="17"/>
                <w:szCs w:val="17"/>
              </w:rPr>
              <w:t>提供的不得分。</w:t>
            </w:r>
          </w:p>
        </w:tc>
        <w:tc>
          <w:tcPr>
            <w:tcW w:w="532" w:type="dxa"/>
            <w:vAlign w:val="top"/>
          </w:tcPr>
          <w:p w14:paraId="390EC2D2">
            <w:pPr>
              <w:pStyle w:val="7"/>
              <w:spacing w:line="255" w:lineRule="auto"/>
              <w:rPr>
                <w:color w:val="auto"/>
              </w:rPr>
            </w:pPr>
          </w:p>
          <w:p w14:paraId="30F5B585">
            <w:pPr>
              <w:pStyle w:val="7"/>
              <w:spacing w:line="255" w:lineRule="auto"/>
              <w:rPr>
                <w:color w:val="auto"/>
              </w:rPr>
            </w:pPr>
          </w:p>
          <w:p w14:paraId="43CC16FB">
            <w:pPr>
              <w:spacing w:before="46" w:line="190" w:lineRule="auto"/>
              <w:ind w:left="197"/>
              <w:rPr>
                <w:rFonts w:ascii="Times New Roman" w:hAnsi="Times New Roman" w:eastAsia="Times New Roman" w:cs="Times New Roman"/>
                <w:color w:val="auto"/>
                <w:sz w:val="16"/>
                <w:szCs w:val="16"/>
              </w:rPr>
            </w:pPr>
            <w:r>
              <w:rPr>
                <w:rFonts w:ascii="Times New Roman" w:hAnsi="Times New Roman" w:eastAsia="Times New Roman" w:cs="Times New Roman"/>
                <w:b/>
                <w:bCs/>
                <w:color w:val="auto"/>
                <w:spacing w:val="-4"/>
                <w:sz w:val="16"/>
                <w:szCs w:val="16"/>
              </w:rPr>
              <w:t>10</w:t>
            </w:r>
          </w:p>
        </w:tc>
        <w:tc>
          <w:tcPr>
            <w:tcW w:w="854" w:type="dxa"/>
            <w:vAlign w:val="top"/>
          </w:tcPr>
          <w:p w14:paraId="1C0A8AB4">
            <w:pPr>
              <w:pStyle w:val="7"/>
              <w:rPr>
                <w:color w:val="auto"/>
              </w:rPr>
            </w:pPr>
          </w:p>
        </w:tc>
        <w:tc>
          <w:tcPr>
            <w:tcW w:w="853" w:type="dxa"/>
            <w:vAlign w:val="top"/>
          </w:tcPr>
          <w:p w14:paraId="355E26EA">
            <w:pPr>
              <w:pStyle w:val="7"/>
              <w:rPr>
                <w:color w:val="auto"/>
              </w:rPr>
            </w:pPr>
          </w:p>
        </w:tc>
        <w:tc>
          <w:tcPr>
            <w:tcW w:w="854" w:type="dxa"/>
            <w:vAlign w:val="top"/>
          </w:tcPr>
          <w:p w14:paraId="6085474A">
            <w:pPr>
              <w:pStyle w:val="7"/>
              <w:rPr>
                <w:color w:val="auto"/>
              </w:rPr>
            </w:pPr>
          </w:p>
        </w:tc>
        <w:tc>
          <w:tcPr>
            <w:tcW w:w="859" w:type="dxa"/>
            <w:vAlign w:val="top"/>
          </w:tcPr>
          <w:p w14:paraId="714E53EB">
            <w:pPr>
              <w:pStyle w:val="7"/>
              <w:rPr>
                <w:color w:val="auto"/>
              </w:rPr>
            </w:pPr>
          </w:p>
        </w:tc>
      </w:tr>
      <w:tr w14:paraId="35F336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7" w:hRule="atLeast"/>
        </w:trPr>
        <w:tc>
          <w:tcPr>
            <w:tcW w:w="327" w:type="dxa"/>
            <w:vAlign w:val="top"/>
          </w:tcPr>
          <w:p w14:paraId="589084FF">
            <w:pPr>
              <w:pStyle w:val="7"/>
              <w:spacing w:line="242" w:lineRule="auto"/>
              <w:rPr>
                <w:color w:val="auto"/>
              </w:rPr>
            </w:pPr>
          </w:p>
          <w:p w14:paraId="39E0453E">
            <w:pPr>
              <w:pStyle w:val="7"/>
              <w:spacing w:line="242" w:lineRule="auto"/>
              <w:rPr>
                <w:color w:val="auto"/>
              </w:rPr>
            </w:pPr>
          </w:p>
          <w:p w14:paraId="0D09B431">
            <w:pPr>
              <w:spacing w:before="52" w:line="211" w:lineRule="exact"/>
              <w:ind w:left="131"/>
              <w:rPr>
                <w:rFonts w:ascii="宋体" w:hAnsi="宋体" w:eastAsia="宋体" w:cs="宋体"/>
                <w:color w:val="auto"/>
                <w:sz w:val="16"/>
                <w:szCs w:val="16"/>
              </w:rPr>
            </w:pPr>
            <w:r>
              <w:rPr>
                <w:rFonts w:ascii="宋体" w:hAnsi="宋体" w:eastAsia="宋体" w:cs="宋体"/>
                <w:color w:val="auto"/>
                <w:position w:val="1"/>
                <w:sz w:val="16"/>
                <w:szCs w:val="16"/>
              </w:rPr>
              <w:t>3</w:t>
            </w:r>
          </w:p>
        </w:tc>
        <w:tc>
          <w:tcPr>
            <w:tcW w:w="853" w:type="dxa"/>
            <w:vMerge w:val="continue"/>
            <w:tcBorders>
              <w:top w:val="nil"/>
            </w:tcBorders>
            <w:vAlign w:val="top"/>
          </w:tcPr>
          <w:p w14:paraId="1A2DE3A8">
            <w:pPr>
              <w:pStyle w:val="7"/>
              <w:rPr>
                <w:color w:val="auto"/>
              </w:rPr>
            </w:pPr>
          </w:p>
        </w:tc>
        <w:tc>
          <w:tcPr>
            <w:tcW w:w="854" w:type="dxa"/>
            <w:vAlign w:val="top"/>
          </w:tcPr>
          <w:p w14:paraId="2B0DAD71">
            <w:pPr>
              <w:pStyle w:val="7"/>
              <w:spacing w:line="242" w:lineRule="auto"/>
              <w:rPr>
                <w:color w:val="auto"/>
              </w:rPr>
            </w:pPr>
          </w:p>
          <w:p w14:paraId="74DEF4A1">
            <w:pPr>
              <w:pStyle w:val="7"/>
              <w:spacing w:line="242" w:lineRule="auto"/>
              <w:rPr>
                <w:color w:val="auto"/>
              </w:rPr>
            </w:pPr>
          </w:p>
          <w:p w14:paraId="09406E53">
            <w:pPr>
              <w:spacing w:before="52" w:line="223" w:lineRule="auto"/>
              <w:ind w:left="107"/>
              <w:rPr>
                <w:rFonts w:ascii="宋体" w:hAnsi="宋体" w:eastAsia="宋体" w:cs="宋体"/>
                <w:color w:val="auto"/>
                <w:sz w:val="16"/>
                <w:szCs w:val="16"/>
              </w:rPr>
            </w:pPr>
            <w:r>
              <w:rPr>
                <w:rFonts w:ascii="宋体" w:hAnsi="宋体" w:eastAsia="宋体" w:cs="宋体"/>
                <w:color w:val="auto"/>
                <w:spacing w:val="1"/>
                <w:sz w:val="16"/>
                <w:szCs w:val="16"/>
              </w:rPr>
              <w:t>服务承诺</w:t>
            </w:r>
          </w:p>
        </w:tc>
        <w:tc>
          <w:tcPr>
            <w:tcW w:w="3133" w:type="dxa"/>
            <w:vAlign w:val="top"/>
          </w:tcPr>
          <w:p w14:paraId="7ED5D478">
            <w:pPr>
              <w:pStyle w:val="7"/>
              <w:spacing w:line="266" w:lineRule="auto"/>
              <w:rPr>
                <w:color w:val="auto"/>
              </w:rPr>
            </w:pPr>
          </w:p>
          <w:p w14:paraId="059DD5AA">
            <w:pPr>
              <w:spacing w:before="55" w:line="230" w:lineRule="auto"/>
              <w:ind w:left="24" w:right="4"/>
              <w:jc w:val="both"/>
              <w:rPr>
                <w:rFonts w:ascii="宋体" w:hAnsi="宋体" w:eastAsia="宋体" w:cs="宋体"/>
                <w:color w:val="auto"/>
                <w:sz w:val="17"/>
                <w:szCs w:val="17"/>
              </w:rPr>
            </w:pPr>
            <w:r>
              <w:rPr>
                <w:rFonts w:ascii="宋体" w:hAnsi="宋体" w:eastAsia="宋体" w:cs="宋体"/>
                <w:color w:val="auto"/>
                <w:spacing w:val="11"/>
                <w:sz w:val="17"/>
                <w:szCs w:val="17"/>
              </w:rPr>
              <w:t>考查、对比服务计划是否详细、合理，是否能够承诺针对本项目提供及时、优</w:t>
            </w:r>
            <w:r>
              <w:rPr>
                <w:rFonts w:ascii="宋体" w:hAnsi="宋体" w:eastAsia="宋体" w:cs="宋体"/>
                <w:color w:val="auto"/>
                <w:spacing w:val="4"/>
                <w:sz w:val="17"/>
                <w:szCs w:val="17"/>
              </w:rPr>
              <w:t>质、专业的服务要求。</w:t>
            </w:r>
          </w:p>
        </w:tc>
        <w:tc>
          <w:tcPr>
            <w:tcW w:w="532" w:type="dxa"/>
            <w:vAlign w:val="top"/>
          </w:tcPr>
          <w:p w14:paraId="61806F9D">
            <w:pPr>
              <w:pStyle w:val="7"/>
              <w:spacing w:line="256" w:lineRule="auto"/>
              <w:rPr>
                <w:color w:val="auto"/>
              </w:rPr>
            </w:pPr>
          </w:p>
          <w:p w14:paraId="0352BB0D">
            <w:pPr>
              <w:pStyle w:val="7"/>
              <w:spacing w:line="256" w:lineRule="auto"/>
              <w:rPr>
                <w:color w:val="auto"/>
              </w:rPr>
            </w:pPr>
          </w:p>
          <w:p w14:paraId="2FC201DD">
            <w:pPr>
              <w:spacing w:before="46" w:line="190" w:lineRule="auto"/>
              <w:ind w:left="190"/>
              <w:rPr>
                <w:rFonts w:ascii="Times New Roman" w:hAnsi="Times New Roman" w:eastAsia="Times New Roman" w:cs="Times New Roman"/>
                <w:color w:val="auto"/>
                <w:sz w:val="16"/>
                <w:szCs w:val="16"/>
              </w:rPr>
            </w:pPr>
            <w:r>
              <w:rPr>
                <w:rFonts w:ascii="Times New Roman" w:hAnsi="Times New Roman" w:eastAsia="Times New Roman" w:cs="Times New Roman"/>
                <w:b/>
                <w:bCs/>
                <w:color w:val="auto"/>
                <w:spacing w:val="-1"/>
                <w:sz w:val="16"/>
                <w:szCs w:val="16"/>
              </w:rPr>
              <w:t>20</w:t>
            </w:r>
          </w:p>
        </w:tc>
        <w:tc>
          <w:tcPr>
            <w:tcW w:w="854" w:type="dxa"/>
            <w:vAlign w:val="top"/>
          </w:tcPr>
          <w:p w14:paraId="1D7A346E">
            <w:pPr>
              <w:pStyle w:val="7"/>
              <w:rPr>
                <w:color w:val="auto"/>
              </w:rPr>
            </w:pPr>
          </w:p>
        </w:tc>
        <w:tc>
          <w:tcPr>
            <w:tcW w:w="853" w:type="dxa"/>
            <w:vAlign w:val="top"/>
          </w:tcPr>
          <w:p w14:paraId="334AAFBA">
            <w:pPr>
              <w:pStyle w:val="7"/>
              <w:rPr>
                <w:color w:val="auto"/>
              </w:rPr>
            </w:pPr>
          </w:p>
        </w:tc>
        <w:tc>
          <w:tcPr>
            <w:tcW w:w="854" w:type="dxa"/>
            <w:vAlign w:val="top"/>
          </w:tcPr>
          <w:p w14:paraId="30D1FFF7">
            <w:pPr>
              <w:pStyle w:val="7"/>
              <w:rPr>
                <w:color w:val="auto"/>
              </w:rPr>
            </w:pPr>
          </w:p>
        </w:tc>
        <w:tc>
          <w:tcPr>
            <w:tcW w:w="859" w:type="dxa"/>
            <w:vAlign w:val="top"/>
          </w:tcPr>
          <w:p w14:paraId="2D72F3E9">
            <w:pPr>
              <w:pStyle w:val="7"/>
              <w:rPr>
                <w:color w:val="auto"/>
              </w:rPr>
            </w:pPr>
          </w:p>
        </w:tc>
      </w:tr>
      <w:tr w14:paraId="74E050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7" w:hRule="atLeast"/>
        </w:trPr>
        <w:tc>
          <w:tcPr>
            <w:tcW w:w="327" w:type="dxa"/>
            <w:vAlign w:val="top"/>
          </w:tcPr>
          <w:p w14:paraId="12FE0483">
            <w:pPr>
              <w:pStyle w:val="7"/>
              <w:spacing w:line="243" w:lineRule="auto"/>
              <w:rPr>
                <w:color w:val="auto"/>
              </w:rPr>
            </w:pPr>
          </w:p>
          <w:p w14:paraId="462C661B">
            <w:pPr>
              <w:pStyle w:val="7"/>
              <w:spacing w:line="243" w:lineRule="auto"/>
              <w:rPr>
                <w:color w:val="auto"/>
              </w:rPr>
            </w:pPr>
          </w:p>
          <w:p w14:paraId="2BB519C7">
            <w:pPr>
              <w:spacing w:before="52" w:line="212" w:lineRule="exact"/>
              <w:ind w:left="127"/>
              <w:rPr>
                <w:rFonts w:ascii="宋体" w:hAnsi="宋体" w:eastAsia="宋体" w:cs="宋体"/>
                <w:color w:val="auto"/>
                <w:sz w:val="16"/>
                <w:szCs w:val="16"/>
              </w:rPr>
            </w:pPr>
            <w:r>
              <w:rPr>
                <w:rFonts w:ascii="宋体" w:hAnsi="宋体" w:eastAsia="宋体" w:cs="宋体"/>
                <w:color w:val="auto"/>
                <w:position w:val="1"/>
                <w:sz w:val="16"/>
                <w:szCs w:val="16"/>
              </w:rPr>
              <w:t>4</w:t>
            </w:r>
          </w:p>
        </w:tc>
        <w:tc>
          <w:tcPr>
            <w:tcW w:w="853" w:type="dxa"/>
            <w:vMerge w:val="restart"/>
            <w:tcBorders>
              <w:bottom w:val="nil"/>
            </w:tcBorders>
            <w:vAlign w:val="top"/>
          </w:tcPr>
          <w:p w14:paraId="566FDBC0">
            <w:pPr>
              <w:pStyle w:val="7"/>
              <w:spacing w:line="253" w:lineRule="auto"/>
              <w:rPr>
                <w:color w:val="auto"/>
              </w:rPr>
            </w:pPr>
          </w:p>
          <w:p w14:paraId="7AC07BC6">
            <w:pPr>
              <w:pStyle w:val="7"/>
              <w:spacing w:line="254" w:lineRule="auto"/>
              <w:rPr>
                <w:color w:val="auto"/>
              </w:rPr>
            </w:pPr>
          </w:p>
          <w:p w14:paraId="1CADD6C8">
            <w:pPr>
              <w:pStyle w:val="7"/>
              <w:spacing w:line="254" w:lineRule="auto"/>
              <w:rPr>
                <w:color w:val="auto"/>
              </w:rPr>
            </w:pPr>
          </w:p>
          <w:p w14:paraId="7C638575">
            <w:pPr>
              <w:pStyle w:val="7"/>
              <w:spacing w:line="254" w:lineRule="auto"/>
              <w:rPr>
                <w:color w:val="auto"/>
              </w:rPr>
            </w:pPr>
          </w:p>
          <w:p w14:paraId="3B7F83A2">
            <w:pPr>
              <w:pStyle w:val="7"/>
              <w:spacing w:line="254" w:lineRule="auto"/>
              <w:rPr>
                <w:color w:val="auto"/>
              </w:rPr>
            </w:pPr>
          </w:p>
          <w:p w14:paraId="19905EBC">
            <w:pPr>
              <w:pStyle w:val="7"/>
              <w:spacing w:line="254" w:lineRule="auto"/>
              <w:rPr>
                <w:color w:val="auto"/>
              </w:rPr>
            </w:pPr>
          </w:p>
          <w:p w14:paraId="68DE54FC">
            <w:pPr>
              <w:spacing w:before="52" w:line="454" w:lineRule="auto"/>
              <w:ind w:left="110" w:right="91" w:hanging="4"/>
              <w:rPr>
                <w:rFonts w:ascii="宋体" w:hAnsi="宋体" w:eastAsia="宋体" w:cs="宋体"/>
                <w:color w:val="auto"/>
                <w:sz w:val="16"/>
                <w:szCs w:val="16"/>
              </w:rPr>
            </w:pPr>
            <w:r>
              <w:rPr>
                <w:rFonts w:ascii="宋体" w:hAnsi="宋体" w:eastAsia="宋体" w:cs="宋体"/>
                <w:color w:val="auto"/>
                <w:spacing w:val="1"/>
                <w:sz w:val="16"/>
                <w:szCs w:val="16"/>
              </w:rPr>
              <w:t>技术评分</w:t>
            </w:r>
            <w:r>
              <w:rPr>
                <w:rFonts w:ascii="宋体" w:hAnsi="宋体" w:eastAsia="宋体" w:cs="宋体"/>
                <w:color w:val="auto"/>
                <w:spacing w:val="-2"/>
                <w:sz w:val="16"/>
                <w:szCs w:val="16"/>
              </w:rPr>
              <w:t>（30分）</w:t>
            </w:r>
          </w:p>
        </w:tc>
        <w:tc>
          <w:tcPr>
            <w:tcW w:w="854" w:type="dxa"/>
            <w:vAlign w:val="top"/>
          </w:tcPr>
          <w:p w14:paraId="5EDECFC1">
            <w:pPr>
              <w:pStyle w:val="7"/>
              <w:spacing w:line="243" w:lineRule="auto"/>
              <w:rPr>
                <w:color w:val="auto"/>
              </w:rPr>
            </w:pPr>
          </w:p>
          <w:p w14:paraId="5042DAAC">
            <w:pPr>
              <w:pStyle w:val="7"/>
              <w:spacing w:line="243" w:lineRule="auto"/>
              <w:rPr>
                <w:color w:val="auto"/>
              </w:rPr>
            </w:pPr>
          </w:p>
          <w:p w14:paraId="4BB5330A">
            <w:pPr>
              <w:spacing w:before="52" w:line="224" w:lineRule="auto"/>
              <w:ind w:left="109"/>
              <w:rPr>
                <w:rFonts w:ascii="宋体" w:hAnsi="宋体" w:eastAsia="宋体" w:cs="宋体"/>
                <w:color w:val="auto"/>
                <w:sz w:val="16"/>
                <w:szCs w:val="16"/>
              </w:rPr>
            </w:pPr>
            <w:r>
              <w:rPr>
                <w:rFonts w:ascii="宋体" w:hAnsi="宋体" w:eastAsia="宋体" w:cs="宋体"/>
                <w:color w:val="auto"/>
                <w:spacing w:val="1"/>
                <w:sz w:val="16"/>
                <w:szCs w:val="16"/>
              </w:rPr>
              <w:t>经营场所</w:t>
            </w:r>
          </w:p>
        </w:tc>
        <w:tc>
          <w:tcPr>
            <w:tcW w:w="3133" w:type="dxa"/>
            <w:vAlign w:val="top"/>
          </w:tcPr>
          <w:p w14:paraId="045213B7">
            <w:pPr>
              <w:spacing w:before="113" w:line="229" w:lineRule="auto"/>
              <w:ind w:left="24" w:firstLine="4"/>
              <w:jc w:val="both"/>
              <w:rPr>
                <w:rFonts w:ascii="宋体" w:hAnsi="宋体" w:eastAsia="宋体" w:cs="宋体"/>
                <w:color w:val="auto"/>
                <w:sz w:val="17"/>
                <w:szCs w:val="17"/>
              </w:rPr>
            </w:pPr>
            <w:r>
              <w:rPr>
                <w:rFonts w:ascii="宋体" w:hAnsi="宋体" w:eastAsia="宋体" w:cs="宋体"/>
                <w:color w:val="auto"/>
                <w:spacing w:val="11"/>
                <w:sz w:val="17"/>
                <w:szCs w:val="17"/>
              </w:rPr>
              <w:t>营业场所布局合理，设有维修区、接待</w:t>
            </w:r>
            <w:r>
              <w:rPr>
                <w:rFonts w:ascii="宋体" w:hAnsi="宋体" w:eastAsia="宋体" w:cs="宋体"/>
                <w:color w:val="auto"/>
                <w:spacing w:val="12"/>
                <w:sz w:val="17"/>
                <w:szCs w:val="17"/>
              </w:rPr>
              <w:t>区、办公区、仓库区等，有必备的消防</w:t>
            </w:r>
            <w:r>
              <w:rPr>
                <w:rFonts w:ascii="宋体" w:hAnsi="宋体" w:eastAsia="宋体" w:cs="宋体"/>
                <w:color w:val="auto"/>
                <w:spacing w:val="7"/>
                <w:sz w:val="17"/>
                <w:szCs w:val="17"/>
              </w:rPr>
              <w:t>设施（0－5分）</w:t>
            </w:r>
            <w:r>
              <w:rPr>
                <w:rFonts w:ascii="宋体" w:hAnsi="宋体" w:eastAsia="宋体" w:cs="宋体"/>
                <w:color w:val="auto"/>
                <w:spacing w:val="-33"/>
                <w:sz w:val="17"/>
                <w:szCs w:val="17"/>
              </w:rPr>
              <w:t xml:space="preserve"> </w:t>
            </w:r>
            <w:r>
              <w:rPr>
                <w:rFonts w:ascii="宋体" w:hAnsi="宋体" w:eastAsia="宋体" w:cs="宋体"/>
                <w:color w:val="auto"/>
                <w:spacing w:val="7"/>
                <w:sz w:val="17"/>
                <w:szCs w:val="17"/>
              </w:rPr>
              <w:t>。营业场所面积</w:t>
            </w:r>
            <w:r>
              <w:rPr>
                <w:rFonts w:hint="eastAsia" w:ascii="宋体" w:hAnsi="宋体" w:eastAsia="宋体" w:cs="宋体"/>
                <w:color w:val="auto"/>
                <w:spacing w:val="7"/>
                <w:sz w:val="17"/>
                <w:szCs w:val="17"/>
                <w:lang w:val="en-US" w:eastAsia="zh-CN"/>
              </w:rPr>
              <w:t>5</w:t>
            </w:r>
            <w:r>
              <w:rPr>
                <w:rFonts w:ascii="宋体" w:hAnsi="宋体" w:eastAsia="宋体" w:cs="宋体"/>
                <w:color w:val="auto"/>
                <w:spacing w:val="7"/>
                <w:sz w:val="17"/>
                <w:szCs w:val="17"/>
              </w:rPr>
              <w:t>00平</w:t>
            </w:r>
            <w:r>
              <w:rPr>
                <w:rFonts w:ascii="宋体" w:hAnsi="宋体" w:eastAsia="宋体" w:cs="宋体"/>
                <w:color w:val="auto"/>
                <w:spacing w:val="10"/>
                <w:sz w:val="17"/>
                <w:szCs w:val="17"/>
              </w:rPr>
              <w:t>方米及以上的得5分，每减少</w:t>
            </w:r>
            <w:r>
              <w:rPr>
                <w:rFonts w:hint="eastAsia" w:ascii="宋体" w:hAnsi="宋体" w:eastAsia="宋体" w:cs="宋体"/>
                <w:color w:val="auto"/>
                <w:spacing w:val="10"/>
                <w:sz w:val="17"/>
                <w:szCs w:val="17"/>
                <w:lang w:val="en-US" w:eastAsia="zh-CN"/>
              </w:rPr>
              <w:t>100</w:t>
            </w:r>
            <w:r>
              <w:rPr>
                <w:rFonts w:ascii="宋体" w:hAnsi="宋体" w:eastAsia="宋体" w:cs="宋体"/>
                <w:color w:val="auto"/>
                <w:spacing w:val="10"/>
                <w:sz w:val="17"/>
                <w:szCs w:val="17"/>
              </w:rPr>
              <w:t>平方米</w:t>
            </w:r>
            <w:r>
              <w:rPr>
                <w:rFonts w:ascii="宋体" w:hAnsi="宋体" w:eastAsia="宋体" w:cs="宋体"/>
                <w:color w:val="auto"/>
                <w:spacing w:val="1"/>
                <w:sz w:val="17"/>
                <w:szCs w:val="17"/>
              </w:rPr>
              <w:t>扣1分。</w:t>
            </w:r>
          </w:p>
        </w:tc>
        <w:tc>
          <w:tcPr>
            <w:tcW w:w="532" w:type="dxa"/>
            <w:vAlign w:val="top"/>
          </w:tcPr>
          <w:p w14:paraId="283F7978">
            <w:pPr>
              <w:pStyle w:val="7"/>
              <w:spacing w:line="255" w:lineRule="auto"/>
              <w:rPr>
                <w:color w:val="auto"/>
              </w:rPr>
            </w:pPr>
          </w:p>
          <w:p w14:paraId="2CD5EEF6">
            <w:pPr>
              <w:pStyle w:val="7"/>
              <w:spacing w:line="255" w:lineRule="auto"/>
              <w:rPr>
                <w:color w:val="auto"/>
              </w:rPr>
            </w:pPr>
          </w:p>
          <w:p w14:paraId="30DA9F9E">
            <w:pPr>
              <w:spacing w:before="46" w:line="190" w:lineRule="auto"/>
              <w:ind w:left="197"/>
              <w:rPr>
                <w:rFonts w:ascii="Times New Roman" w:hAnsi="Times New Roman" w:eastAsia="Times New Roman" w:cs="Times New Roman"/>
                <w:color w:val="auto"/>
                <w:sz w:val="16"/>
                <w:szCs w:val="16"/>
              </w:rPr>
            </w:pPr>
            <w:r>
              <w:rPr>
                <w:rFonts w:ascii="Times New Roman" w:hAnsi="Times New Roman" w:eastAsia="Times New Roman" w:cs="Times New Roman"/>
                <w:b/>
                <w:bCs/>
                <w:color w:val="auto"/>
                <w:spacing w:val="-4"/>
                <w:sz w:val="16"/>
                <w:szCs w:val="16"/>
              </w:rPr>
              <w:t>10</w:t>
            </w:r>
          </w:p>
        </w:tc>
        <w:tc>
          <w:tcPr>
            <w:tcW w:w="854" w:type="dxa"/>
            <w:vAlign w:val="top"/>
          </w:tcPr>
          <w:p w14:paraId="2A112F45">
            <w:pPr>
              <w:pStyle w:val="7"/>
              <w:rPr>
                <w:color w:val="auto"/>
              </w:rPr>
            </w:pPr>
          </w:p>
        </w:tc>
        <w:tc>
          <w:tcPr>
            <w:tcW w:w="853" w:type="dxa"/>
            <w:vAlign w:val="top"/>
          </w:tcPr>
          <w:p w14:paraId="74BAD288">
            <w:pPr>
              <w:pStyle w:val="7"/>
              <w:rPr>
                <w:color w:val="auto"/>
              </w:rPr>
            </w:pPr>
          </w:p>
        </w:tc>
        <w:tc>
          <w:tcPr>
            <w:tcW w:w="854" w:type="dxa"/>
            <w:vAlign w:val="top"/>
          </w:tcPr>
          <w:p w14:paraId="42A03C2F">
            <w:pPr>
              <w:pStyle w:val="7"/>
              <w:rPr>
                <w:color w:val="auto"/>
              </w:rPr>
            </w:pPr>
          </w:p>
        </w:tc>
        <w:tc>
          <w:tcPr>
            <w:tcW w:w="859" w:type="dxa"/>
            <w:vAlign w:val="top"/>
          </w:tcPr>
          <w:p w14:paraId="20BBE1DC">
            <w:pPr>
              <w:pStyle w:val="7"/>
              <w:rPr>
                <w:color w:val="auto"/>
              </w:rPr>
            </w:pPr>
          </w:p>
        </w:tc>
      </w:tr>
      <w:tr w14:paraId="23BF2E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8" w:hRule="atLeast"/>
        </w:trPr>
        <w:tc>
          <w:tcPr>
            <w:tcW w:w="327" w:type="dxa"/>
            <w:vAlign w:val="top"/>
          </w:tcPr>
          <w:p w14:paraId="1426D336">
            <w:pPr>
              <w:pStyle w:val="7"/>
              <w:spacing w:line="245" w:lineRule="auto"/>
              <w:rPr>
                <w:color w:val="auto"/>
              </w:rPr>
            </w:pPr>
          </w:p>
          <w:p w14:paraId="09F8A974">
            <w:pPr>
              <w:pStyle w:val="7"/>
              <w:spacing w:line="245" w:lineRule="auto"/>
              <w:rPr>
                <w:color w:val="auto"/>
              </w:rPr>
            </w:pPr>
          </w:p>
          <w:p w14:paraId="5589B415">
            <w:pPr>
              <w:spacing w:before="52" w:line="210" w:lineRule="exact"/>
              <w:ind w:left="131"/>
              <w:rPr>
                <w:rFonts w:ascii="宋体" w:hAnsi="宋体" w:eastAsia="宋体" w:cs="宋体"/>
                <w:color w:val="auto"/>
                <w:sz w:val="16"/>
                <w:szCs w:val="16"/>
              </w:rPr>
            </w:pPr>
            <w:r>
              <w:rPr>
                <w:rFonts w:ascii="宋体" w:hAnsi="宋体" w:eastAsia="宋体" w:cs="宋体"/>
                <w:color w:val="auto"/>
                <w:position w:val="1"/>
                <w:sz w:val="16"/>
                <w:szCs w:val="16"/>
              </w:rPr>
              <w:t>5</w:t>
            </w:r>
          </w:p>
        </w:tc>
        <w:tc>
          <w:tcPr>
            <w:tcW w:w="853" w:type="dxa"/>
            <w:vMerge w:val="continue"/>
            <w:tcBorders>
              <w:top w:val="nil"/>
              <w:bottom w:val="nil"/>
            </w:tcBorders>
            <w:vAlign w:val="top"/>
          </w:tcPr>
          <w:p w14:paraId="13EB564A">
            <w:pPr>
              <w:pStyle w:val="7"/>
              <w:rPr>
                <w:color w:val="auto"/>
              </w:rPr>
            </w:pPr>
          </w:p>
        </w:tc>
        <w:tc>
          <w:tcPr>
            <w:tcW w:w="854" w:type="dxa"/>
            <w:vAlign w:val="top"/>
          </w:tcPr>
          <w:p w14:paraId="51B7E169">
            <w:pPr>
              <w:pStyle w:val="7"/>
              <w:spacing w:line="244" w:lineRule="auto"/>
              <w:rPr>
                <w:color w:val="auto"/>
              </w:rPr>
            </w:pPr>
          </w:p>
          <w:p w14:paraId="27CEFDC4">
            <w:pPr>
              <w:pStyle w:val="7"/>
              <w:spacing w:line="245" w:lineRule="auto"/>
              <w:rPr>
                <w:color w:val="auto"/>
              </w:rPr>
            </w:pPr>
          </w:p>
          <w:p w14:paraId="6F3ED520">
            <w:pPr>
              <w:spacing w:before="52" w:line="224" w:lineRule="auto"/>
              <w:ind w:left="109"/>
              <w:rPr>
                <w:rFonts w:ascii="宋体" w:hAnsi="宋体" w:eastAsia="宋体" w:cs="宋体"/>
                <w:color w:val="auto"/>
                <w:sz w:val="16"/>
                <w:szCs w:val="16"/>
              </w:rPr>
            </w:pPr>
            <w:r>
              <w:rPr>
                <w:rFonts w:ascii="宋体" w:hAnsi="宋体" w:eastAsia="宋体" w:cs="宋体"/>
                <w:color w:val="auto"/>
                <w:spacing w:val="1"/>
                <w:sz w:val="16"/>
                <w:szCs w:val="16"/>
              </w:rPr>
              <w:t>人员情况</w:t>
            </w:r>
          </w:p>
        </w:tc>
        <w:tc>
          <w:tcPr>
            <w:tcW w:w="3133" w:type="dxa"/>
            <w:vAlign w:val="top"/>
          </w:tcPr>
          <w:p w14:paraId="5012ED48">
            <w:pPr>
              <w:spacing w:before="223" w:line="229" w:lineRule="auto"/>
              <w:ind w:left="24"/>
              <w:jc w:val="both"/>
              <w:rPr>
                <w:rFonts w:ascii="宋体" w:hAnsi="宋体" w:eastAsia="宋体" w:cs="宋体"/>
                <w:color w:val="auto"/>
                <w:sz w:val="17"/>
                <w:szCs w:val="17"/>
              </w:rPr>
            </w:pPr>
            <w:r>
              <w:rPr>
                <w:rFonts w:ascii="宋体" w:hAnsi="宋体" w:eastAsia="宋体" w:cs="宋体"/>
                <w:color w:val="auto"/>
                <w:spacing w:val="12"/>
                <w:sz w:val="17"/>
                <w:szCs w:val="17"/>
              </w:rPr>
              <w:t>有一级或二级的汽车相关行业职业资格</w:t>
            </w:r>
            <w:r>
              <w:rPr>
                <w:rFonts w:ascii="宋体" w:hAnsi="宋体" w:eastAsia="宋体" w:cs="宋体"/>
                <w:color w:val="auto"/>
                <w:spacing w:val="5"/>
                <w:sz w:val="17"/>
                <w:szCs w:val="17"/>
              </w:rPr>
              <w:t>证的，每个人员得2分；有三级或四级的</w:t>
            </w:r>
            <w:r>
              <w:rPr>
                <w:rFonts w:ascii="宋体" w:hAnsi="宋体" w:eastAsia="宋体" w:cs="宋体"/>
                <w:color w:val="auto"/>
                <w:spacing w:val="4"/>
                <w:sz w:val="17"/>
                <w:szCs w:val="17"/>
              </w:rPr>
              <w:t>每个人得1分，最高6分；人数最多的得4</w:t>
            </w:r>
            <w:r>
              <w:rPr>
                <w:rFonts w:ascii="宋体" w:hAnsi="宋体" w:eastAsia="宋体" w:cs="宋体"/>
                <w:color w:val="auto"/>
                <w:spacing w:val="1"/>
                <w:sz w:val="17"/>
                <w:szCs w:val="17"/>
              </w:rPr>
              <w:t>分，少1人扣1分</w:t>
            </w:r>
          </w:p>
        </w:tc>
        <w:tc>
          <w:tcPr>
            <w:tcW w:w="532" w:type="dxa"/>
            <w:vAlign w:val="top"/>
          </w:tcPr>
          <w:p w14:paraId="4F839C10">
            <w:pPr>
              <w:pStyle w:val="7"/>
              <w:spacing w:line="257" w:lineRule="auto"/>
              <w:rPr>
                <w:color w:val="auto"/>
              </w:rPr>
            </w:pPr>
          </w:p>
          <w:p w14:paraId="7B7BA08D">
            <w:pPr>
              <w:pStyle w:val="7"/>
              <w:spacing w:line="257" w:lineRule="auto"/>
              <w:rPr>
                <w:color w:val="auto"/>
              </w:rPr>
            </w:pPr>
          </w:p>
          <w:p w14:paraId="30BC834A">
            <w:pPr>
              <w:spacing w:before="46" w:line="190" w:lineRule="auto"/>
              <w:ind w:left="197"/>
              <w:rPr>
                <w:rFonts w:ascii="Times New Roman" w:hAnsi="Times New Roman" w:eastAsia="Times New Roman" w:cs="Times New Roman"/>
                <w:color w:val="auto"/>
                <w:sz w:val="16"/>
                <w:szCs w:val="16"/>
              </w:rPr>
            </w:pPr>
            <w:r>
              <w:rPr>
                <w:rFonts w:ascii="Times New Roman" w:hAnsi="Times New Roman" w:eastAsia="Times New Roman" w:cs="Times New Roman"/>
                <w:b/>
                <w:bCs/>
                <w:color w:val="auto"/>
                <w:spacing w:val="-4"/>
                <w:sz w:val="16"/>
                <w:szCs w:val="16"/>
              </w:rPr>
              <w:t>10</w:t>
            </w:r>
          </w:p>
        </w:tc>
        <w:tc>
          <w:tcPr>
            <w:tcW w:w="854" w:type="dxa"/>
            <w:vAlign w:val="top"/>
          </w:tcPr>
          <w:p w14:paraId="6F5F3851">
            <w:pPr>
              <w:pStyle w:val="7"/>
              <w:rPr>
                <w:color w:val="auto"/>
              </w:rPr>
            </w:pPr>
          </w:p>
        </w:tc>
        <w:tc>
          <w:tcPr>
            <w:tcW w:w="853" w:type="dxa"/>
            <w:vAlign w:val="top"/>
          </w:tcPr>
          <w:p w14:paraId="66024064">
            <w:pPr>
              <w:pStyle w:val="7"/>
              <w:rPr>
                <w:color w:val="auto"/>
              </w:rPr>
            </w:pPr>
          </w:p>
        </w:tc>
        <w:tc>
          <w:tcPr>
            <w:tcW w:w="854" w:type="dxa"/>
            <w:vAlign w:val="top"/>
          </w:tcPr>
          <w:p w14:paraId="486ADB88">
            <w:pPr>
              <w:pStyle w:val="7"/>
              <w:rPr>
                <w:color w:val="auto"/>
              </w:rPr>
            </w:pPr>
          </w:p>
        </w:tc>
        <w:tc>
          <w:tcPr>
            <w:tcW w:w="859" w:type="dxa"/>
            <w:vAlign w:val="top"/>
          </w:tcPr>
          <w:p w14:paraId="666588AF">
            <w:pPr>
              <w:pStyle w:val="7"/>
              <w:rPr>
                <w:color w:val="auto"/>
              </w:rPr>
            </w:pPr>
          </w:p>
        </w:tc>
      </w:tr>
      <w:tr w14:paraId="3AC339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7" w:hRule="atLeast"/>
        </w:trPr>
        <w:tc>
          <w:tcPr>
            <w:tcW w:w="327" w:type="dxa"/>
            <w:vAlign w:val="top"/>
          </w:tcPr>
          <w:p w14:paraId="0FAC26B0">
            <w:pPr>
              <w:pStyle w:val="7"/>
              <w:spacing w:line="243" w:lineRule="auto"/>
              <w:rPr>
                <w:color w:val="auto"/>
              </w:rPr>
            </w:pPr>
          </w:p>
          <w:p w14:paraId="5E8646DD">
            <w:pPr>
              <w:pStyle w:val="7"/>
              <w:spacing w:line="244" w:lineRule="auto"/>
              <w:rPr>
                <w:color w:val="auto"/>
              </w:rPr>
            </w:pPr>
          </w:p>
          <w:p w14:paraId="7495D5E8">
            <w:pPr>
              <w:spacing w:before="52" w:line="211" w:lineRule="exact"/>
              <w:ind w:left="129"/>
              <w:rPr>
                <w:rFonts w:ascii="宋体" w:hAnsi="宋体" w:eastAsia="宋体" w:cs="宋体"/>
                <w:color w:val="auto"/>
                <w:sz w:val="16"/>
                <w:szCs w:val="16"/>
              </w:rPr>
            </w:pPr>
            <w:r>
              <w:rPr>
                <w:rFonts w:ascii="宋体" w:hAnsi="宋体" w:eastAsia="宋体" w:cs="宋体"/>
                <w:color w:val="auto"/>
                <w:position w:val="1"/>
                <w:sz w:val="16"/>
                <w:szCs w:val="16"/>
              </w:rPr>
              <w:t>6</w:t>
            </w:r>
          </w:p>
        </w:tc>
        <w:tc>
          <w:tcPr>
            <w:tcW w:w="853" w:type="dxa"/>
            <w:vMerge w:val="continue"/>
            <w:tcBorders>
              <w:top w:val="nil"/>
            </w:tcBorders>
            <w:vAlign w:val="top"/>
          </w:tcPr>
          <w:p w14:paraId="13423CB0">
            <w:pPr>
              <w:pStyle w:val="7"/>
              <w:rPr>
                <w:color w:val="auto"/>
              </w:rPr>
            </w:pPr>
          </w:p>
        </w:tc>
        <w:tc>
          <w:tcPr>
            <w:tcW w:w="854" w:type="dxa"/>
            <w:vAlign w:val="top"/>
          </w:tcPr>
          <w:p w14:paraId="1928B9F2">
            <w:pPr>
              <w:pStyle w:val="7"/>
              <w:spacing w:line="243" w:lineRule="auto"/>
              <w:rPr>
                <w:color w:val="auto"/>
              </w:rPr>
            </w:pPr>
          </w:p>
          <w:p w14:paraId="45A7F762">
            <w:pPr>
              <w:pStyle w:val="7"/>
              <w:spacing w:line="244" w:lineRule="auto"/>
              <w:rPr>
                <w:color w:val="auto"/>
              </w:rPr>
            </w:pPr>
          </w:p>
          <w:p w14:paraId="542AED8C">
            <w:pPr>
              <w:spacing w:before="52" w:line="224" w:lineRule="auto"/>
              <w:ind w:left="110"/>
              <w:rPr>
                <w:rFonts w:ascii="宋体" w:hAnsi="宋体" w:eastAsia="宋体" w:cs="宋体"/>
                <w:color w:val="auto"/>
                <w:sz w:val="16"/>
                <w:szCs w:val="16"/>
              </w:rPr>
            </w:pPr>
            <w:r>
              <w:rPr>
                <w:rFonts w:ascii="宋体" w:hAnsi="宋体" w:eastAsia="宋体" w:cs="宋体"/>
                <w:color w:val="auto"/>
                <w:sz w:val="16"/>
                <w:szCs w:val="16"/>
              </w:rPr>
              <w:t>设备设施</w:t>
            </w:r>
          </w:p>
        </w:tc>
        <w:tc>
          <w:tcPr>
            <w:tcW w:w="3133" w:type="dxa"/>
            <w:vAlign w:val="top"/>
          </w:tcPr>
          <w:p w14:paraId="0C549FC9">
            <w:pPr>
              <w:pStyle w:val="7"/>
              <w:spacing w:line="269" w:lineRule="auto"/>
              <w:rPr>
                <w:color w:val="auto"/>
              </w:rPr>
            </w:pPr>
          </w:p>
          <w:p w14:paraId="24319D26">
            <w:pPr>
              <w:spacing w:before="55" w:line="230" w:lineRule="auto"/>
              <w:ind w:left="24" w:firstLine="2"/>
              <w:jc w:val="both"/>
              <w:rPr>
                <w:rFonts w:ascii="宋体" w:hAnsi="宋体" w:eastAsia="宋体" w:cs="宋体"/>
                <w:color w:val="auto"/>
                <w:sz w:val="17"/>
                <w:szCs w:val="17"/>
              </w:rPr>
            </w:pPr>
            <w:r>
              <w:rPr>
                <w:rFonts w:ascii="宋体" w:hAnsi="宋体" w:eastAsia="宋体" w:cs="宋体"/>
                <w:color w:val="auto"/>
                <w:spacing w:val="2"/>
                <w:sz w:val="17"/>
                <w:szCs w:val="17"/>
              </w:rPr>
              <w:t>维修设备情况优秀的得10分；</w:t>
            </w:r>
            <w:r>
              <w:rPr>
                <w:rFonts w:ascii="宋体" w:hAnsi="宋体" w:eastAsia="宋体" w:cs="宋体"/>
                <w:color w:val="auto"/>
                <w:spacing w:val="-27"/>
                <w:sz w:val="17"/>
                <w:szCs w:val="17"/>
              </w:rPr>
              <w:t xml:space="preserve"> </w:t>
            </w:r>
            <w:r>
              <w:rPr>
                <w:rFonts w:ascii="宋体" w:hAnsi="宋体" w:eastAsia="宋体" w:cs="宋体"/>
                <w:color w:val="auto"/>
                <w:spacing w:val="2"/>
                <w:sz w:val="17"/>
                <w:szCs w:val="17"/>
              </w:rPr>
              <w:t>良好的得8</w:t>
            </w:r>
            <w:r>
              <w:rPr>
                <w:rFonts w:ascii="宋体" w:hAnsi="宋体" w:eastAsia="宋体" w:cs="宋体"/>
                <w:color w:val="auto"/>
                <w:spacing w:val="6"/>
                <w:sz w:val="17"/>
                <w:szCs w:val="17"/>
              </w:rPr>
              <w:t>分；一般的得6分；只能满足部分要求的</w:t>
            </w:r>
            <w:r>
              <w:rPr>
                <w:rFonts w:ascii="宋体" w:hAnsi="宋体" w:eastAsia="宋体" w:cs="宋体"/>
                <w:color w:val="auto"/>
                <w:spacing w:val="1"/>
                <w:sz w:val="17"/>
                <w:szCs w:val="17"/>
              </w:rPr>
              <w:t>得0－5分。</w:t>
            </w:r>
          </w:p>
        </w:tc>
        <w:tc>
          <w:tcPr>
            <w:tcW w:w="532" w:type="dxa"/>
            <w:vAlign w:val="top"/>
          </w:tcPr>
          <w:p w14:paraId="5B552BE4">
            <w:pPr>
              <w:pStyle w:val="7"/>
              <w:spacing w:line="257" w:lineRule="auto"/>
              <w:rPr>
                <w:color w:val="auto"/>
              </w:rPr>
            </w:pPr>
          </w:p>
          <w:p w14:paraId="44272EE3">
            <w:pPr>
              <w:pStyle w:val="7"/>
              <w:spacing w:line="258" w:lineRule="auto"/>
              <w:rPr>
                <w:color w:val="auto"/>
              </w:rPr>
            </w:pPr>
          </w:p>
          <w:p w14:paraId="7876E4B0">
            <w:pPr>
              <w:spacing w:before="46" w:line="190" w:lineRule="auto"/>
              <w:ind w:left="197"/>
              <w:rPr>
                <w:rFonts w:ascii="Times New Roman" w:hAnsi="Times New Roman" w:eastAsia="Times New Roman" w:cs="Times New Roman"/>
                <w:color w:val="auto"/>
                <w:sz w:val="16"/>
                <w:szCs w:val="16"/>
              </w:rPr>
            </w:pPr>
            <w:r>
              <w:rPr>
                <w:rFonts w:ascii="Times New Roman" w:hAnsi="Times New Roman" w:eastAsia="Times New Roman" w:cs="Times New Roman"/>
                <w:b/>
                <w:bCs/>
                <w:color w:val="auto"/>
                <w:spacing w:val="-4"/>
                <w:sz w:val="16"/>
                <w:szCs w:val="16"/>
              </w:rPr>
              <w:t>10</w:t>
            </w:r>
          </w:p>
        </w:tc>
        <w:tc>
          <w:tcPr>
            <w:tcW w:w="854" w:type="dxa"/>
            <w:vAlign w:val="top"/>
          </w:tcPr>
          <w:p w14:paraId="15BA275D">
            <w:pPr>
              <w:pStyle w:val="7"/>
              <w:rPr>
                <w:color w:val="auto"/>
              </w:rPr>
            </w:pPr>
          </w:p>
        </w:tc>
        <w:tc>
          <w:tcPr>
            <w:tcW w:w="853" w:type="dxa"/>
            <w:vAlign w:val="top"/>
          </w:tcPr>
          <w:p w14:paraId="67D5AE27">
            <w:pPr>
              <w:pStyle w:val="7"/>
              <w:rPr>
                <w:color w:val="auto"/>
              </w:rPr>
            </w:pPr>
          </w:p>
        </w:tc>
        <w:tc>
          <w:tcPr>
            <w:tcW w:w="854" w:type="dxa"/>
            <w:vAlign w:val="top"/>
          </w:tcPr>
          <w:p w14:paraId="06E19B9F">
            <w:pPr>
              <w:pStyle w:val="7"/>
              <w:rPr>
                <w:color w:val="auto"/>
              </w:rPr>
            </w:pPr>
          </w:p>
        </w:tc>
        <w:tc>
          <w:tcPr>
            <w:tcW w:w="859" w:type="dxa"/>
            <w:vAlign w:val="top"/>
          </w:tcPr>
          <w:p w14:paraId="414A8D4E">
            <w:pPr>
              <w:pStyle w:val="7"/>
              <w:rPr>
                <w:color w:val="auto"/>
              </w:rPr>
            </w:pPr>
          </w:p>
        </w:tc>
      </w:tr>
      <w:tr w14:paraId="00978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7" w:hRule="atLeast"/>
        </w:trPr>
        <w:tc>
          <w:tcPr>
            <w:tcW w:w="327" w:type="dxa"/>
            <w:vAlign w:val="top"/>
          </w:tcPr>
          <w:p w14:paraId="2707D824">
            <w:pPr>
              <w:pStyle w:val="7"/>
              <w:spacing w:line="244" w:lineRule="auto"/>
              <w:rPr>
                <w:color w:val="auto"/>
              </w:rPr>
            </w:pPr>
          </w:p>
          <w:p w14:paraId="539C5FFC">
            <w:pPr>
              <w:pStyle w:val="7"/>
              <w:spacing w:line="245" w:lineRule="auto"/>
              <w:rPr>
                <w:color w:val="auto"/>
              </w:rPr>
            </w:pPr>
          </w:p>
          <w:p w14:paraId="0763C55A">
            <w:pPr>
              <w:spacing w:before="52" w:line="211" w:lineRule="exact"/>
              <w:ind w:left="131"/>
              <w:rPr>
                <w:rFonts w:ascii="宋体" w:hAnsi="宋体" w:eastAsia="宋体" w:cs="宋体"/>
                <w:color w:val="auto"/>
                <w:sz w:val="16"/>
                <w:szCs w:val="16"/>
              </w:rPr>
            </w:pPr>
            <w:r>
              <w:rPr>
                <w:rFonts w:ascii="宋体" w:hAnsi="宋体" w:eastAsia="宋体" w:cs="宋体"/>
                <w:color w:val="auto"/>
                <w:position w:val="1"/>
                <w:sz w:val="16"/>
                <w:szCs w:val="16"/>
              </w:rPr>
              <w:t>7</w:t>
            </w:r>
          </w:p>
        </w:tc>
        <w:tc>
          <w:tcPr>
            <w:tcW w:w="853" w:type="dxa"/>
            <w:vMerge w:val="restart"/>
            <w:tcBorders>
              <w:bottom w:val="nil"/>
            </w:tcBorders>
            <w:vAlign w:val="top"/>
          </w:tcPr>
          <w:p w14:paraId="0BD2B9CA">
            <w:pPr>
              <w:pStyle w:val="7"/>
              <w:spacing w:line="303" w:lineRule="auto"/>
              <w:rPr>
                <w:color w:val="auto"/>
              </w:rPr>
            </w:pPr>
          </w:p>
          <w:p w14:paraId="39798363">
            <w:pPr>
              <w:pStyle w:val="7"/>
              <w:spacing w:line="303" w:lineRule="auto"/>
              <w:rPr>
                <w:color w:val="auto"/>
              </w:rPr>
            </w:pPr>
          </w:p>
          <w:p w14:paraId="32730059">
            <w:pPr>
              <w:pStyle w:val="7"/>
              <w:spacing w:line="304" w:lineRule="auto"/>
              <w:rPr>
                <w:color w:val="auto"/>
              </w:rPr>
            </w:pPr>
          </w:p>
          <w:p w14:paraId="055DDDF2">
            <w:pPr>
              <w:spacing w:before="52" w:line="454" w:lineRule="auto"/>
              <w:ind w:left="110" w:right="91" w:hanging="4"/>
              <w:rPr>
                <w:rFonts w:ascii="宋体" w:hAnsi="宋体" w:eastAsia="宋体" w:cs="宋体"/>
                <w:color w:val="auto"/>
                <w:sz w:val="16"/>
                <w:szCs w:val="16"/>
              </w:rPr>
            </w:pPr>
            <w:r>
              <w:rPr>
                <w:rFonts w:ascii="宋体" w:hAnsi="宋体" w:eastAsia="宋体" w:cs="宋体"/>
                <w:color w:val="auto"/>
                <w:spacing w:val="1"/>
                <w:sz w:val="16"/>
                <w:szCs w:val="16"/>
              </w:rPr>
              <w:t>价格评分</w:t>
            </w:r>
            <w:r>
              <w:rPr>
                <w:rFonts w:ascii="宋体" w:hAnsi="宋体" w:eastAsia="宋体" w:cs="宋体"/>
                <w:color w:val="auto"/>
                <w:spacing w:val="-2"/>
                <w:sz w:val="16"/>
                <w:szCs w:val="16"/>
              </w:rPr>
              <w:t>（30分）</w:t>
            </w:r>
          </w:p>
        </w:tc>
        <w:tc>
          <w:tcPr>
            <w:tcW w:w="854" w:type="dxa"/>
            <w:vAlign w:val="top"/>
          </w:tcPr>
          <w:p w14:paraId="39EC8FB0">
            <w:pPr>
              <w:pStyle w:val="7"/>
              <w:spacing w:line="394" w:lineRule="auto"/>
              <w:rPr>
                <w:color w:val="auto"/>
              </w:rPr>
            </w:pPr>
          </w:p>
          <w:p w14:paraId="036728A4">
            <w:pPr>
              <w:spacing w:before="52" w:line="226" w:lineRule="auto"/>
              <w:ind w:left="351" w:right="6" w:hanging="321"/>
              <w:rPr>
                <w:rFonts w:ascii="宋体" w:hAnsi="宋体" w:eastAsia="宋体" w:cs="宋体"/>
                <w:color w:val="auto"/>
                <w:sz w:val="16"/>
                <w:szCs w:val="16"/>
              </w:rPr>
            </w:pPr>
            <w:r>
              <w:rPr>
                <w:rFonts w:ascii="宋体" w:hAnsi="宋体" w:eastAsia="宋体" w:cs="宋体"/>
                <w:color w:val="auto"/>
                <w:spacing w:val="1"/>
                <w:sz w:val="16"/>
                <w:szCs w:val="16"/>
              </w:rPr>
              <w:t>工时单价评</w:t>
            </w:r>
            <w:r>
              <w:rPr>
                <w:rFonts w:ascii="宋体" w:hAnsi="宋体" w:eastAsia="宋体" w:cs="宋体"/>
                <w:color w:val="auto"/>
                <w:sz w:val="16"/>
                <w:szCs w:val="16"/>
              </w:rPr>
              <w:t>分</w:t>
            </w:r>
          </w:p>
        </w:tc>
        <w:tc>
          <w:tcPr>
            <w:tcW w:w="3133" w:type="dxa"/>
            <w:vAlign w:val="top"/>
          </w:tcPr>
          <w:p w14:paraId="53A59D5F">
            <w:pPr>
              <w:spacing w:before="119" w:line="228" w:lineRule="auto"/>
              <w:ind w:left="23" w:firstLine="2"/>
              <w:jc w:val="both"/>
              <w:rPr>
                <w:rFonts w:ascii="宋体" w:hAnsi="宋体" w:eastAsia="宋体" w:cs="宋体"/>
                <w:color w:val="auto"/>
                <w:sz w:val="17"/>
                <w:szCs w:val="17"/>
              </w:rPr>
            </w:pPr>
            <w:r>
              <w:rPr>
                <w:rFonts w:ascii="宋体" w:hAnsi="宋体" w:eastAsia="宋体" w:cs="宋体"/>
                <w:color w:val="auto"/>
                <w:spacing w:val="10"/>
                <w:sz w:val="17"/>
                <w:szCs w:val="17"/>
              </w:rPr>
              <w:t>投标人属于小型或微型企业的，实施价</w:t>
            </w:r>
            <w:r>
              <w:rPr>
                <w:rFonts w:ascii="宋体" w:hAnsi="宋体" w:eastAsia="宋体" w:cs="宋体"/>
                <w:color w:val="auto"/>
                <w:spacing w:val="4"/>
                <w:sz w:val="17"/>
                <w:szCs w:val="17"/>
              </w:rPr>
              <w:t>格扣除，扣除比例为6%.以工时单价（元</w:t>
            </w:r>
            <w:r>
              <w:rPr>
                <w:rFonts w:ascii="宋体" w:hAnsi="宋体" w:eastAsia="宋体" w:cs="宋体"/>
                <w:color w:val="auto"/>
                <w:spacing w:val="17"/>
                <w:sz w:val="17"/>
                <w:szCs w:val="17"/>
              </w:rPr>
              <w:t>/小时）金额最低的报价为评标基准价</w:t>
            </w:r>
            <w:r>
              <w:rPr>
                <w:rFonts w:ascii="宋体" w:hAnsi="宋体" w:eastAsia="宋体" w:cs="宋体"/>
                <w:color w:val="auto"/>
                <w:spacing w:val="14"/>
                <w:sz w:val="17"/>
                <w:szCs w:val="17"/>
              </w:rPr>
              <w:t>格，计算公式为：价格评分</w:t>
            </w:r>
            <w:r>
              <w:rPr>
                <w:rFonts w:ascii="宋体" w:hAnsi="宋体" w:eastAsia="宋体" w:cs="宋体"/>
                <w:color w:val="auto"/>
                <w:spacing w:val="-15"/>
                <w:sz w:val="17"/>
                <w:szCs w:val="17"/>
              </w:rPr>
              <w:t>＝（</w:t>
            </w:r>
            <w:r>
              <w:rPr>
                <w:rFonts w:ascii="宋体" w:hAnsi="宋体" w:eastAsia="宋体" w:cs="宋体"/>
                <w:color w:val="auto"/>
                <w:spacing w:val="14"/>
                <w:sz w:val="17"/>
                <w:szCs w:val="17"/>
              </w:rPr>
              <w:t>评标基</w:t>
            </w:r>
            <w:r>
              <w:rPr>
                <w:rFonts w:ascii="宋体" w:hAnsi="宋体" w:eastAsia="宋体" w:cs="宋体"/>
                <w:color w:val="auto"/>
                <w:spacing w:val="-1"/>
                <w:sz w:val="17"/>
                <w:szCs w:val="17"/>
              </w:rPr>
              <w:t>准价格/评标价格）</w:t>
            </w:r>
            <w:r>
              <w:rPr>
                <w:rFonts w:ascii="宋体" w:hAnsi="宋体" w:eastAsia="宋体" w:cs="宋体"/>
                <w:color w:val="auto"/>
                <w:spacing w:val="-55"/>
                <w:sz w:val="17"/>
                <w:szCs w:val="17"/>
              </w:rPr>
              <w:t xml:space="preserve"> </w:t>
            </w:r>
            <w:r>
              <w:rPr>
                <w:rFonts w:ascii="宋体" w:hAnsi="宋体" w:eastAsia="宋体" w:cs="宋体"/>
                <w:color w:val="auto"/>
                <w:spacing w:val="-1"/>
                <w:sz w:val="17"/>
                <w:szCs w:val="17"/>
              </w:rPr>
              <w:t>×15。</w:t>
            </w:r>
          </w:p>
        </w:tc>
        <w:tc>
          <w:tcPr>
            <w:tcW w:w="532" w:type="dxa"/>
            <w:vAlign w:val="top"/>
          </w:tcPr>
          <w:p w14:paraId="1C5C3401">
            <w:pPr>
              <w:pStyle w:val="7"/>
              <w:spacing w:line="256" w:lineRule="auto"/>
              <w:rPr>
                <w:color w:val="auto"/>
              </w:rPr>
            </w:pPr>
          </w:p>
          <w:p w14:paraId="0A774552">
            <w:pPr>
              <w:pStyle w:val="7"/>
              <w:spacing w:line="257" w:lineRule="auto"/>
              <w:rPr>
                <w:color w:val="auto"/>
              </w:rPr>
            </w:pPr>
          </w:p>
          <w:p w14:paraId="0BDE6874">
            <w:pPr>
              <w:spacing w:before="46" w:line="190" w:lineRule="auto"/>
              <w:ind w:left="197"/>
              <w:rPr>
                <w:rFonts w:ascii="Times New Roman" w:hAnsi="Times New Roman" w:eastAsia="Times New Roman" w:cs="Times New Roman"/>
                <w:color w:val="auto"/>
                <w:sz w:val="16"/>
                <w:szCs w:val="16"/>
              </w:rPr>
            </w:pPr>
            <w:r>
              <w:rPr>
                <w:rFonts w:ascii="Times New Roman" w:hAnsi="Times New Roman" w:eastAsia="Times New Roman" w:cs="Times New Roman"/>
                <w:b/>
                <w:bCs/>
                <w:color w:val="auto"/>
                <w:spacing w:val="-4"/>
                <w:sz w:val="16"/>
                <w:szCs w:val="16"/>
              </w:rPr>
              <w:t>15</w:t>
            </w:r>
          </w:p>
        </w:tc>
        <w:tc>
          <w:tcPr>
            <w:tcW w:w="854" w:type="dxa"/>
            <w:vAlign w:val="top"/>
          </w:tcPr>
          <w:p w14:paraId="1AE4F1AA">
            <w:pPr>
              <w:pStyle w:val="7"/>
              <w:rPr>
                <w:color w:val="auto"/>
              </w:rPr>
            </w:pPr>
          </w:p>
        </w:tc>
        <w:tc>
          <w:tcPr>
            <w:tcW w:w="853" w:type="dxa"/>
            <w:vAlign w:val="top"/>
          </w:tcPr>
          <w:p w14:paraId="6A7673FE">
            <w:pPr>
              <w:pStyle w:val="7"/>
              <w:rPr>
                <w:color w:val="auto"/>
              </w:rPr>
            </w:pPr>
          </w:p>
        </w:tc>
        <w:tc>
          <w:tcPr>
            <w:tcW w:w="854" w:type="dxa"/>
            <w:vAlign w:val="top"/>
          </w:tcPr>
          <w:p w14:paraId="734B6724">
            <w:pPr>
              <w:pStyle w:val="7"/>
              <w:rPr>
                <w:color w:val="auto"/>
              </w:rPr>
            </w:pPr>
          </w:p>
        </w:tc>
        <w:tc>
          <w:tcPr>
            <w:tcW w:w="859" w:type="dxa"/>
            <w:vAlign w:val="top"/>
          </w:tcPr>
          <w:p w14:paraId="484513BF">
            <w:pPr>
              <w:pStyle w:val="7"/>
              <w:rPr>
                <w:color w:val="auto"/>
              </w:rPr>
            </w:pPr>
          </w:p>
        </w:tc>
      </w:tr>
      <w:tr w14:paraId="65C801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7" w:hRule="atLeast"/>
        </w:trPr>
        <w:tc>
          <w:tcPr>
            <w:tcW w:w="327" w:type="dxa"/>
            <w:vAlign w:val="top"/>
          </w:tcPr>
          <w:p w14:paraId="2CB36D57">
            <w:pPr>
              <w:pStyle w:val="7"/>
              <w:spacing w:line="246" w:lineRule="auto"/>
              <w:rPr>
                <w:color w:val="auto"/>
              </w:rPr>
            </w:pPr>
          </w:p>
          <w:p w14:paraId="4CA23760">
            <w:pPr>
              <w:pStyle w:val="7"/>
              <w:spacing w:line="247" w:lineRule="auto"/>
              <w:rPr>
                <w:color w:val="auto"/>
              </w:rPr>
            </w:pPr>
          </w:p>
          <w:p w14:paraId="6BC48ECD">
            <w:pPr>
              <w:spacing w:before="52" w:line="210" w:lineRule="exact"/>
              <w:ind w:left="128"/>
              <w:rPr>
                <w:rFonts w:ascii="宋体" w:hAnsi="宋体" w:eastAsia="宋体" w:cs="宋体"/>
                <w:color w:val="auto"/>
                <w:sz w:val="16"/>
                <w:szCs w:val="16"/>
              </w:rPr>
            </w:pPr>
            <w:r>
              <w:rPr>
                <w:rFonts w:ascii="宋体" w:hAnsi="宋体" w:eastAsia="宋体" w:cs="宋体"/>
                <w:color w:val="auto"/>
                <w:position w:val="1"/>
                <w:sz w:val="16"/>
                <w:szCs w:val="16"/>
              </w:rPr>
              <w:t>8</w:t>
            </w:r>
          </w:p>
        </w:tc>
        <w:tc>
          <w:tcPr>
            <w:tcW w:w="853" w:type="dxa"/>
            <w:vMerge w:val="continue"/>
            <w:tcBorders>
              <w:top w:val="nil"/>
            </w:tcBorders>
            <w:vAlign w:val="top"/>
          </w:tcPr>
          <w:p w14:paraId="06B076DF">
            <w:pPr>
              <w:pStyle w:val="7"/>
              <w:rPr>
                <w:color w:val="auto"/>
              </w:rPr>
            </w:pPr>
          </w:p>
        </w:tc>
        <w:tc>
          <w:tcPr>
            <w:tcW w:w="854" w:type="dxa"/>
            <w:vAlign w:val="top"/>
          </w:tcPr>
          <w:p w14:paraId="7B62F6C5">
            <w:pPr>
              <w:pStyle w:val="7"/>
              <w:spacing w:line="297" w:lineRule="auto"/>
              <w:rPr>
                <w:color w:val="auto"/>
              </w:rPr>
            </w:pPr>
          </w:p>
          <w:p w14:paraId="6A84958A">
            <w:pPr>
              <w:spacing w:before="52" w:line="222" w:lineRule="auto"/>
              <w:ind w:left="40"/>
              <w:rPr>
                <w:rFonts w:ascii="宋体" w:hAnsi="宋体" w:eastAsia="宋体" w:cs="宋体"/>
                <w:color w:val="auto"/>
                <w:sz w:val="16"/>
                <w:szCs w:val="16"/>
              </w:rPr>
            </w:pPr>
            <w:r>
              <w:rPr>
                <w:rFonts w:ascii="宋体" w:hAnsi="宋体" w:eastAsia="宋体" w:cs="宋体"/>
                <w:color w:val="auto"/>
                <w:spacing w:val="-1"/>
                <w:sz w:val="16"/>
                <w:szCs w:val="16"/>
              </w:rPr>
              <w:t>附加管理费</w:t>
            </w:r>
          </w:p>
          <w:p w14:paraId="1DEC6C78">
            <w:pPr>
              <w:spacing w:before="4" w:line="223" w:lineRule="auto"/>
              <w:ind w:left="33"/>
              <w:rPr>
                <w:rFonts w:ascii="宋体" w:hAnsi="宋体" w:eastAsia="宋体" w:cs="宋体"/>
                <w:color w:val="auto"/>
                <w:sz w:val="16"/>
                <w:szCs w:val="16"/>
              </w:rPr>
            </w:pPr>
            <w:r>
              <w:rPr>
                <w:rFonts w:ascii="宋体" w:hAnsi="宋体" w:eastAsia="宋体" w:cs="宋体"/>
                <w:color w:val="auto"/>
                <w:sz w:val="16"/>
                <w:szCs w:val="16"/>
              </w:rPr>
              <w:t>收费比率评</w:t>
            </w:r>
          </w:p>
          <w:p w14:paraId="050F576E">
            <w:pPr>
              <w:spacing w:line="224" w:lineRule="auto"/>
              <w:ind w:left="351"/>
              <w:rPr>
                <w:rFonts w:ascii="宋体" w:hAnsi="宋体" w:eastAsia="宋体" w:cs="宋体"/>
                <w:color w:val="auto"/>
                <w:sz w:val="16"/>
                <w:szCs w:val="16"/>
              </w:rPr>
            </w:pPr>
            <w:r>
              <w:rPr>
                <w:rFonts w:ascii="宋体" w:hAnsi="宋体" w:eastAsia="宋体" w:cs="宋体"/>
                <w:color w:val="auto"/>
                <w:sz w:val="16"/>
                <w:szCs w:val="16"/>
              </w:rPr>
              <w:t>分</w:t>
            </w:r>
          </w:p>
        </w:tc>
        <w:tc>
          <w:tcPr>
            <w:tcW w:w="3133" w:type="dxa"/>
            <w:vAlign w:val="top"/>
          </w:tcPr>
          <w:p w14:paraId="1A87A79E">
            <w:pPr>
              <w:spacing w:before="121" w:line="228" w:lineRule="auto"/>
              <w:ind w:left="23" w:firstLine="2"/>
              <w:jc w:val="both"/>
              <w:rPr>
                <w:rFonts w:ascii="宋体" w:hAnsi="宋体" w:eastAsia="宋体" w:cs="宋体"/>
                <w:color w:val="auto"/>
                <w:sz w:val="17"/>
                <w:szCs w:val="17"/>
              </w:rPr>
            </w:pPr>
            <w:r>
              <w:rPr>
                <w:rFonts w:ascii="宋体" w:hAnsi="宋体" w:eastAsia="宋体" w:cs="宋体"/>
                <w:color w:val="auto"/>
                <w:spacing w:val="11"/>
                <w:sz w:val="17"/>
                <w:szCs w:val="17"/>
              </w:rPr>
              <w:t>投标人属于小型或微型企业的，实施价</w:t>
            </w:r>
            <w:r>
              <w:rPr>
                <w:rFonts w:ascii="宋体" w:hAnsi="宋体" w:eastAsia="宋体" w:cs="宋体"/>
                <w:color w:val="auto"/>
                <w:spacing w:val="6"/>
                <w:sz w:val="17"/>
                <w:szCs w:val="17"/>
              </w:rPr>
              <w:t>格扣除，扣除比例为6%.满足要求且投标</w:t>
            </w:r>
            <w:r>
              <w:rPr>
                <w:rFonts w:ascii="宋体" w:hAnsi="宋体" w:eastAsia="宋体" w:cs="宋体"/>
                <w:color w:val="auto"/>
                <w:spacing w:val="11"/>
                <w:sz w:val="17"/>
                <w:szCs w:val="17"/>
              </w:rPr>
              <w:t>价格最低的投标报价为评标基准价，计</w:t>
            </w:r>
            <w:r>
              <w:rPr>
                <w:rFonts w:ascii="宋体" w:hAnsi="宋体" w:eastAsia="宋体" w:cs="宋体"/>
                <w:color w:val="auto"/>
                <w:spacing w:val="8"/>
                <w:sz w:val="17"/>
                <w:szCs w:val="17"/>
              </w:rPr>
              <w:t>算公式为：价格评分</w:t>
            </w:r>
            <w:r>
              <w:rPr>
                <w:rFonts w:ascii="宋体" w:hAnsi="宋体" w:eastAsia="宋体" w:cs="宋体"/>
                <w:color w:val="auto"/>
                <w:spacing w:val="-12"/>
                <w:sz w:val="17"/>
                <w:szCs w:val="17"/>
              </w:rPr>
              <w:t>＝（</w:t>
            </w:r>
            <w:r>
              <w:rPr>
                <w:rFonts w:ascii="宋体" w:hAnsi="宋体" w:eastAsia="宋体" w:cs="宋体"/>
                <w:color w:val="auto"/>
                <w:spacing w:val="8"/>
                <w:sz w:val="17"/>
                <w:szCs w:val="17"/>
              </w:rPr>
              <w:t>评标基准价格/</w:t>
            </w:r>
            <w:r>
              <w:rPr>
                <w:rFonts w:ascii="宋体" w:hAnsi="宋体" w:eastAsia="宋体" w:cs="宋体"/>
                <w:color w:val="auto"/>
                <w:spacing w:val="-2"/>
                <w:sz w:val="17"/>
                <w:szCs w:val="17"/>
              </w:rPr>
              <w:t>评标价格）</w:t>
            </w:r>
            <w:r>
              <w:rPr>
                <w:rFonts w:ascii="宋体" w:hAnsi="宋体" w:eastAsia="宋体" w:cs="宋体"/>
                <w:color w:val="auto"/>
                <w:spacing w:val="-50"/>
                <w:sz w:val="17"/>
                <w:szCs w:val="17"/>
              </w:rPr>
              <w:t xml:space="preserve"> </w:t>
            </w:r>
            <w:r>
              <w:rPr>
                <w:rFonts w:ascii="宋体" w:hAnsi="宋体" w:eastAsia="宋体" w:cs="宋体"/>
                <w:color w:val="auto"/>
                <w:spacing w:val="-2"/>
                <w:sz w:val="17"/>
                <w:szCs w:val="17"/>
              </w:rPr>
              <w:t>×15。</w:t>
            </w:r>
          </w:p>
        </w:tc>
        <w:tc>
          <w:tcPr>
            <w:tcW w:w="532" w:type="dxa"/>
            <w:vAlign w:val="top"/>
          </w:tcPr>
          <w:p w14:paraId="190285FA">
            <w:pPr>
              <w:pStyle w:val="7"/>
              <w:spacing w:line="258" w:lineRule="auto"/>
              <w:rPr>
                <w:color w:val="auto"/>
              </w:rPr>
            </w:pPr>
          </w:p>
          <w:p w14:paraId="6091BA90">
            <w:pPr>
              <w:pStyle w:val="7"/>
              <w:spacing w:line="259" w:lineRule="auto"/>
              <w:rPr>
                <w:color w:val="auto"/>
              </w:rPr>
            </w:pPr>
          </w:p>
          <w:p w14:paraId="20195A25">
            <w:pPr>
              <w:spacing w:before="46" w:line="190" w:lineRule="auto"/>
              <w:ind w:left="197"/>
              <w:rPr>
                <w:rFonts w:ascii="Times New Roman" w:hAnsi="Times New Roman" w:eastAsia="Times New Roman" w:cs="Times New Roman"/>
                <w:color w:val="auto"/>
                <w:sz w:val="16"/>
                <w:szCs w:val="16"/>
              </w:rPr>
            </w:pPr>
            <w:r>
              <w:rPr>
                <w:rFonts w:ascii="Times New Roman" w:hAnsi="Times New Roman" w:eastAsia="Times New Roman" w:cs="Times New Roman"/>
                <w:b/>
                <w:bCs/>
                <w:color w:val="auto"/>
                <w:spacing w:val="-4"/>
                <w:sz w:val="16"/>
                <w:szCs w:val="16"/>
              </w:rPr>
              <w:t>15</w:t>
            </w:r>
          </w:p>
        </w:tc>
        <w:tc>
          <w:tcPr>
            <w:tcW w:w="854" w:type="dxa"/>
            <w:vAlign w:val="top"/>
          </w:tcPr>
          <w:p w14:paraId="50EE9A16">
            <w:pPr>
              <w:pStyle w:val="7"/>
              <w:rPr>
                <w:color w:val="auto"/>
              </w:rPr>
            </w:pPr>
          </w:p>
        </w:tc>
        <w:tc>
          <w:tcPr>
            <w:tcW w:w="853" w:type="dxa"/>
            <w:vAlign w:val="top"/>
          </w:tcPr>
          <w:p w14:paraId="03298948">
            <w:pPr>
              <w:pStyle w:val="7"/>
              <w:rPr>
                <w:color w:val="auto"/>
              </w:rPr>
            </w:pPr>
          </w:p>
        </w:tc>
        <w:tc>
          <w:tcPr>
            <w:tcW w:w="854" w:type="dxa"/>
            <w:vAlign w:val="top"/>
          </w:tcPr>
          <w:p w14:paraId="653C7D73">
            <w:pPr>
              <w:pStyle w:val="7"/>
              <w:rPr>
                <w:color w:val="auto"/>
              </w:rPr>
            </w:pPr>
          </w:p>
        </w:tc>
        <w:tc>
          <w:tcPr>
            <w:tcW w:w="859" w:type="dxa"/>
            <w:vAlign w:val="top"/>
          </w:tcPr>
          <w:p w14:paraId="50585AB6">
            <w:pPr>
              <w:pStyle w:val="7"/>
              <w:rPr>
                <w:color w:val="auto"/>
              </w:rPr>
            </w:pPr>
          </w:p>
        </w:tc>
      </w:tr>
      <w:tr w14:paraId="7720BC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5167" w:type="dxa"/>
            <w:gridSpan w:val="4"/>
            <w:vAlign w:val="top"/>
          </w:tcPr>
          <w:p w14:paraId="56797BE6">
            <w:pPr>
              <w:spacing w:before="120" w:line="224" w:lineRule="auto"/>
              <w:ind w:left="2020"/>
              <w:rPr>
                <w:rFonts w:ascii="宋体" w:hAnsi="宋体" w:eastAsia="宋体" w:cs="宋体"/>
                <w:color w:val="auto"/>
                <w:sz w:val="16"/>
                <w:szCs w:val="16"/>
              </w:rPr>
            </w:pPr>
            <w:r>
              <w:rPr>
                <w:rFonts w:ascii="宋体" w:hAnsi="宋体" w:eastAsia="宋体" w:cs="宋体"/>
                <w:b/>
                <w:bCs/>
                <w:color w:val="auto"/>
                <w:spacing w:val="-4"/>
                <w:sz w:val="16"/>
                <w:szCs w:val="16"/>
              </w:rPr>
              <w:t>合</w:t>
            </w:r>
            <w:r>
              <w:rPr>
                <w:rFonts w:ascii="宋体" w:hAnsi="宋体" w:eastAsia="宋体" w:cs="宋体"/>
                <w:color w:val="auto"/>
                <w:spacing w:val="2"/>
                <w:sz w:val="16"/>
                <w:szCs w:val="16"/>
              </w:rPr>
              <w:t xml:space="preserve">          </w:t>
            </w:r>
            <w:r>
              <w:rPr>
                <w:rFonts w:ascii="宋体" w:hAnsi="宋体" w:eastAsia="宋体" w:cs="宋体"/>
                <w:b/>
                <w:bCs/>
                <w:color w:val="auto"/>
                <w:spacing w:val="-4"/>
                <w:sz w:val="16"/>
                <w:szCs w:val="16"/>
              </w:rPr>
              <w:t>计</w:t>
            </w:r>
          </w:p>
        </w:tc>
        <w:tc>
          <w:tcPr>
            <w:tcW w:w="532" w:type="dxa"/>
            <w:vAlign w:val="top"/>
          </w:tcPr>
          <w:p w14:paraId="79DE708E">
            <w:pPr>
              <w:spacing w:before="139" w:line="190" w:lineRule="auto"/>
              <w:ind w:left="159"/>
              <w:rPr>
                <w:rFonts w:ascii="Times New Roman" w:hAnsi="Times New Roman" w:eastAsia="Times New Roman" w:cs="Times New Roman"/>
                <w:color w:val="auto"/>
                <w:sz w:val="16"/>
                <w:szCs w:val="16"/>
              </w:rPr>
            </w:pPr>
            <w:r>
              <w:rPr>
                <w:rFonts w:ascii="Times New Roman" w:hAnsi="Times New Roman" w:eastAsia="Times New Roman" w:cs="Times New Roman"/>
                <w:b/>
                <w:bCs/>
                <w:color w:val="auto"/>
                <w:spacing w:val="-3"/>
                <w:sz w:val="16"/>
                <w:szCs w:val="16"/>
              </w:rPr>
              <w:t>100</w:t>
            </w:r>
          </w:p>
        </w:tc>
        <w:tc>
          <w:tcPr>
            <w:tcW w:w="854" w:type="dxa"/>
            <w:vAlign w:val="top"/>
          </w:tcPr>
          <w:p w14:paraId="24929C09">
            <w:pPr>
              <w:pStyle w:val="7"/>
              <w:rPr>
                <w:color w:val="auto"/>
              </w:rPr>
            </w:pPr>
          </w:p>
        </w:tc>
        <w:tc>
          <w:tcPr>
            <w:tcW w:w="853" w:type="dxa"/>
            <w:vAlign w:val="top"/>
          </w:tcPr>
          <w:p w14:paraId="54D55ADC">
            <w:pPr>
              <w:pStyle w:val="7"/>
              <w:rPr>
                <w:color w:val="auto"/>
              </w:rPr>
            </w:pPr>
          </w:p>
        </w:tc>
        <w:tc>
          <w:tcPr>
            <w:tcW w:w="854" w:type="dxa"/>
            <w:vAlign w:val="top"/>
          </w:tcPr>
          <w:p w14:paraId="40B46D1D">
            <w:pPr>
              <w:pStyle w:val="7"/>
              <w:rPr>
                <w:color w:val="auto"/>
              </w:rPr>
            </w:pPr>
          </w:p>
        </w:tc>
        <w:tc>
          <w:tcPr>
            <w:tcW w:w="859" w:type="dxa"/>
            <w:vAlign w:val="top"/>
          </w:tcPr>
          <w:p w14:paraId="6851C822">
            <w:pPr>
              <w:pStyle w:val="7"/>
              <w:rPr>
                <w:color w:val="auto"/>
              </w:rPr>
            </w:pPr>
          </w:p>
        </w:tc>
      </w:tr>
    </w:tbl>
    <w:p w14:paraId="4228CBCE">
      <w:pPr>
        <w:spacing w:before="87" w:line="231" w:lineRule="auto"/>
        <w:ind w:left="37"/>
        <w:rPr>
          <w:rFonts w:ascii="宋体" w:hAnsi="宋体" w:eastAsia="宋体" w:cs="宋体"/>
          <w:color w:val="auto"/>
          <w:sz w:val="14"/>
          <w:szCs w:val="14"/>
        </w:rPr>
      </w:pPr>
      <w:r>
        <w:rPr>
          <w:rFonts w:ascii="宋体" w:hAnsi="宋体" w:eastAsia="宋体" w:cs="宋体"/>
          <w:color w:val="auto"/>
          <w:spacing w:val="9"/>
          <w:sz w:val="14"/>
          <w:szCs w:val="14"/>
        </w:rPr>
        <w:t>注：分值为四舍五入小数点后保留两位有效数。</w:t>
      </w:r>
    </w:p>
    <w:p w14:paraId="5909FF19">
      <w:pPr>
        <w:spacing w:line="54" w:lineRule="exact"/>
        <w:rPr>
          <w:color w:val="auto"/>
        </w:rPr>
      </w:pPr>
    </w:p>
    <w:tbl>
      <w:tblPr>
        <w:tblStyle w:val="6"/>
        <w:tblW w:w="9112" w:type="dxa"/>
        <w:tblInd w:w="1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112"/>
      </w:tblGrid>
      <w:tr w14:paraId="4A3207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9112" w:type="dxa"/>
            <w:vAlign w:val="top"/>
          </w:tcPr>
          <w:p w14:paraId="405624DB">
            <w:pPr>
              <w:spacing w:before="29" w:line="231" w:lineRule="auto"/>
              <w:ind w:left="31"/>
              <w:rPr>
                <w:rFonts w:ascii="黑体" w:hAnsi="黑体" w:eastAsia="黑体" w:cs="黑体"/>
                <w:color w:val="auto"/>
                <w:sz w:val="18"/>
                <w:szCs w:val="18"/>
              </w:rPr>
            </w:pPr>
            <w:r>
              <w:rPr>
                <w:rFonts w:ascii="黑体" w:hAnsi="黑体" w:eastAsia="黑体" w:cs="黑体"/>
                <w:color w:val="auto"/>
                <w:spacing w:val="9"/>
                <w:sz w:val="18"/>
                <w:szCs w:val="18"/>
              </w:rPr>
              <w:t>有关情况说明：</w:t>
            </w:r>
          </w:p>
        </w:tc>
      </w:tr>
      <w:tr w14:paraId="053318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81" w:hRule="atLeast"/>
        </w:trPr>
        <w:tc>
          <w:tcPr>
            <w:tcW w:w="9112" w:type="dxa"/>
            <w:vAlign w:val="top"/>
          </w:tcPr>
          <w:p w14:paraId="4C042C6A">
            <w:pPr>
              <w:spacing w:before="32" w:line="232" w:lineRule="auto"/>
              <w:ind w:left="30"/>
              <w:rPr>
                <w:rFonts w:ascii="黑体" w:hAnsi="黑体" w:eastAsia="黑体" w:cs="黑体"/>
                <w:color w:val="auto"/>
                <w:sz w:val="18"/>
                <w:szCs w:val="18"/>
              </w:rPr>
            </w:pPr>
            <w:r>
              <w:rPr>
                <w:rFonts w:ascii="黑体" w:hAnsi="黑体" w:eastAsia="黑体" w:cs="黑体"/>
                <w:color w:val="auto"/>
                <w:spacing w:val="8"/>
                <w:sz w:val="18"/>
                <w:szCs w:val="18"/>
              </w:rPr>
              <w:t>评审人签名：</w:t>
            </w:r>
          </w:p>
        </w:tc>
      </w:tr>
    </w:tbl>
    <w:p w14:paraId="5E5CAE8F">
      <w:pPr>
        <w:spacing w:before="69" w:line="226" w:lineRule="auto"/>
        <w:jc w:val="right"/>
        <w:rPr>
          <w:rFonts w:ascii="宋体" w:hAnsi="宋体" w:eastAsia="宋体" w:cs="宋体"/>
          <w:color w:val="auto"/>
          <w:sz w:val="21"/>
          <w:szCs w:val="21"/>
        </w:rPr>
      </w:pPr>
      <w:r>
        <w:rPr>
          <w:rFonts w:ascii="宋体" w:hAnsi="宋体" w:eastAsia="宋体" w:cs="宋体"/>
          <w:color w:val="auto"/>
          <w:spacing w:val="-5"/>
          <w:sz w:val="21"/>
          <w:szCs w:val="21"/>
        </w:rPr>
        <w:t>评审日期：</w:t>
      </w:r>
      <w:r>
        <w:rPr>
          <w:rFonts w:ascii="宋体" w:hAnsi="宋体" w:eastAsia="宋体" w:cs="宋体"/>
          <w:color w:val="auto"/>
          <w:spacing w:val="5"/>
          <w:sz w:val="21"/>
          <w:szCs w:val="21"/>
        </w:rPr>
        <w:t xml:space="preserve">   </w:t>
      </w:r>
      <w:r>
        <w:rPr>
          <w:rFonts w:ascii="宋体" w:hAnsi="宋体" w:eastAsia="宋体" w:cs="宋体"/>
          <w:color w:val="auto"/>
          <w:spacing w:val="-5"/>
          <w:sz w:val="21"/>
          <w:szCs w:val="21"/>
        </w:rPr>
        <w:t>年</w:t>
      </w:r>
      <w:r>
        <w:rPr>
          <w:rFonts w:ascii="宋体" w:hAnsi="宋体" w:eastAsia="宋体" w:cs="宋体"/>
          <w:color w:val="auto"/>
          <w:spacing w:val="9"/>
          <w:sz w:val="21"/>
          <w:szCs w:val="21"/>
        </w:rPr>
        <w:t xml:space="preserve">  </w:t>
      </w:r>
      <w:r>
        <w:rPr>
          <w:rFonts w:ascii="宋体" w:hAnsi="宋体" w:eastAsia="宋体" w:cs="宋体"/>
          <w:color w:val="auto"/>
          <w:spacing w:val="-5"/>
          <w:sz w:val="21"/>
          <w:szCs w:val="21"/>
        </w:rPr>
        <w:t>月</w:t>
      </w:r>
      <w:r>
        <w:rPr>
          <w:rFonts w:ascii="宋体" w:hAnsi="宋体" w:eastAsia="宋体" w:cs="宋体"/>
          <w:color w:val="auto"/>
          <w:spacing w:val="25"/>
          <w:sz w:val="21"/>
          <w:szCs w:val="21"/>
        </w:rPr>
        <w:t xml:space="preserve">  </w:t>
      </w:r>
      <w:r>
        <w:rPr>
          <w:rFonts w:ascii="宋体" w:hAnsi="宋体" w:eastAsia="宋体" w:cs="宋体"/>
          <w:color w:val="auto"/>
          <w:spacing w:val="-5"/>
          <w:sz w:val="21"/>
          <w:szCs w:val="21"/>
        </w:rPr>
        <w:t>日</w:t>
      </w:r>
    </w:p>
    <w:sectPr>
      <w:pgSz w:w="11905" w:h="16837"/>
      <w:pgMar w:top="1252" w:right="1394" w:bottom="0" w:left="1381"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769BCC88-F709-4BE7-8573-F14335967144}"/>
  </w:font>
  <w:font w:name="黑体">
    <w:panose1 w:val="02010609060101010101"/>
    <w:charset w:val="86"/>
    <w:family w:val="auto"/>
    <w:pitch w:val="default"/>
    <w:sig w:usb0="800002BF" w:usb1="38CF7CFA" w:usb2="00000016" w:usb3="00000000" w:csb0="00040001" w:csb1="00000000"/>
    <w:embedRegular r:id="rId2" w:fontKey="{B9D2588F-FE50-42AE-8CA9-AE2A8B2C050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embedRegular r:id="rId3" w:fontKey="{F0427425-7967-47F5-939E-B7C85EDD1FF9}"/>
  </w:font>
  <w:font w:name="WPSEMBED3">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80F3C52"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5281DA4"/>
    <w:rsid w:val="0A0A57FB"/>
    <w:rsid w:val="0EE23F14"/>
    <w:rsid w:val="113726A5"/>
    <w:rsid w:val="16954AA9"/>
    <w:rsid w:val="23082BE2"/>
    <w:rsid w:val="2A1A0CEB"/>
    <w:rsid w:val="325504BF"/>
    <w:rsid w:val="3FC714BD"/>
    <w:rsid w:val="49ED01AF"/>
    <w:rsid w:val="5A246469"/>
    <w:rsid w:val="60692C58"/>
    <w:rsid w:val="61C65D69"/>
    <w:rsid w:val="62806EC1"/>
    <w:rsid w:val="684706A4"/>
    <w:rsid w:val="6FC30BDE"/>
    <w:rsid w:val="6FDA33A0"/>
    <w:rsid w:val="72CB65F3"/>
    <w:rsid w:val="796743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0"/>
      <w:szCs w:val="30"/>
      <w:lang w:val="en-US" w:eastAsia="en-US" w:bidi="ar-SA"/>
    </w:r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Pages>
  <Words>3161</Words>
  <Characters>3314</Characters>
  <TotalTime>5</TotalTime>
  <ScaleCrop>false</ScaleCrop>
  <LinksUpToDate>false</LinksUpToDate>
  <CharactersWithSpaces>3396</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2026-05-12T10:48:00Z</dcterms:created>
  <dc:creator>Administrator</dc:creator>
  <cp:lastModifiedBy>杨均荣</cp:lastModifiedBy>
  <dcterms:modified xsi:type="dcterms:W3CDTF">2026-07-24T09:34:27Z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2026-05-19T14:58:32Z</vt:filetime>
  </property>
  <property fmtid="{D5CDD505-2E9C-101B-9397-08002B2CF9AE}" pid="4" name="KSOTemplateDocerSaveRecord">
    <vt:lpwstr>eyJoZGlkIjoiOWZkYjYzMGU5NWJhYTQyYmY3N2IzZmY4NDA5MjAyMzkiLCJ1c2VySWQiOiIzNDA2MjY3ODIifQ==</vt:lpwstr>
  </property>
  <property fmtid="{D5CDD505-2E9C-101B-9397-08002B2CF9AE}" pid="5" name="KSOProductBuildVer">
    <vt:lpwstr>2052-12.1.0.26895</vt:lpwstr>
  </property>
  <property fmtid="{D5CDD505-2E9C-101B-9397-08002B2CF9AE}" pid="6" name="ICV">
    <vt:lpwstr>9612F807F31645C28AAC03D492895489_13</vt:lpwstr>
  </property>
</Properties>
</file>