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CE57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附表</w:t>
      </w:r>
    </w:p>
    <w:p w14:paraId="3D78232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 w14:paraId="575D794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  <w:t>主要目标</w:t>
      </w:r>
    </w:p>
    <w:p w14:paraId="2163769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</w:pP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3550"/>
        <w:gridCol w:w="1955"/>
        <w:gridCol w:w="1915"/>
        <w:gridCol w:w="1305"/>
      </w:tblGrid>
      <w:tr w14:paraId="6F769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8" w:hRule="atLeast"/>
          <w:jc w:val="center"/>
        </w:trPr>
        <w:tc>
          <w:tcPr>
            <w:tcW w:w="893" w:type="dxa"/>
            <w:noWrap w:val="0"/>
            <w:vAlign w:val="center"/>
          </w:tcPr>
          <w:p w14:paraId="6C3A6C81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3550" w:type="dxa"/>
            <w:noWrap w:val="0"/>
            <w:vAlign w:val="center"/>
          </w:tcPr>
          <w:p w14:paraId="7E6AFF64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指标</w:t>
            </w:r>
          </w:p>
        </w:tc>
        <w:tc>
          <w:tcPr>
            <w:tcW w:w="1955" w:type="dxa"/>
            <w:noWrap w:val="0"/>
            <w:vAlign w:val="center"/>
          </w:tcPr>
          <w:p w14:paraId="15DD4589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2027年目标值</w:t>
            </w:r>
          </w:p>
        </w:tc>
        <w:tc>
          <w:tcPr>
            <w:tcW w:w="1915" w:type="dxa"/>
            <w:noWrap w:val="0"/>
            <w:vAlign w:val="center"/>
          </w:tcPr>
          <w:p w14:paraId="4C621730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2030年目标值</w:t>
            </w:r>
          </w:p>
        </w:tc>
        <w:tc>
          <w:tcPr>
            <w:tcW w:w="1305" w:type="dxa"/>
            <w:noWrap w:val="0"/>
            <w:vAlign w:val="center"/>
          </w:tcPr>
          <w:p w14:paraId="3073BF02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性质</w:t>
            </w:r>
          </w:p>
        </w:tc>
      </w:tr>
      <w:tr w14:paraId="3EEF6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893" w:type="dxa"/>
            <w:noWrap w:val="0"/>
            <w:vAlign w:val="center"/>
          </w:tcPr>
          <w:p w14:paraId="1F90BD6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3550" w:type="dxa"/>
            <w:noWrap w:val="0"/>
            <w:vAlign w:val="center"/>
          </w:tcPr>
          <w:p w14:paraId="3972643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公众对老年期痴呆防控知识知晓率</w:t>
            </w:r>
          </w:p>
        </w:tc>
        <w:tc>
          <w:tcPr>
            <w:tcW w:w="1955" w:type="dxa"/>
            <w:noWrap w:val="0"/>
            <w:vAlign w:val="center"/>
          </w:tcPr>
          <w:p w14:paraId="0488B4E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0%</w:t>
            </w:r>
          </w:p>
        </w:tc>
        <w:tc>
          <w:tcPr>
            <w:tcW w:w="1915" w:type="dxa"/>
            <w:noWrap w:val="0"/>
            <w:vAlign w:val="center"/>
          </w:tcPr>
          <w:p w14:paraId="1860B4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≥80%</w:t>
            </w:r>
          </w:p>
        </w:tc>
        <w:tc>
          <w:tcPr>
            <w:tcW w:w="1305" w:type="dxa"/>
            <w:noWrap w:val="0"/>
            <w:vAlign w:val="center"/>
          </w:tcPr>
          <w:p w14:paraId="75C296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预期性</w:t>
            </w:r>
          </w:p>
        </w:tc>
      </w:tr>
      <w:tr w14:paraId="1D794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893" w:type="dxa"/>
            <w:noWrap w:val="0"/>
            <w:vAlign w:val="center"/>
          </w:tcPr>
          <w:p w14:paraId="6A17D28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3550" w:type="dxa"/>
            <w:noWrap w:val="0"/>
            <w:vAlign w:val="center"/>
          </w:tcPr>
          <w:p w14:paraId="163850C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接受老年人健康管理服务的人群认知功能初筛率</w:t>
            </w:r>
          </w:p>
        </w:tc>
        <w:tc>
          <w:tcPr>
            <w:tcW w:w="1955" w:type="dxa"/>
            <w:noWrap w:val="0"/>
            <w:vAlign w:val="center"/>
          </w:tcPr>
          <w:p w14:paraId="1132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0%</w:t>
            </w:r>
          </w:p>
        </w:tc>
        <w:tc>
          <w:tcPr>
            <w:tcW w:w="1915" w:type="dxa"/>
            <w:noWrap w:val="0"/>
            <w:vAlign w:val="center"/>
          </w:tcPr>
          <w:p w14:paraId="653E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≥80%</w:t>
            </w:r>
          </w:p>
        </w:tc>
        <w:tc>
          <w:tcPr>
            <w:tcW w:w="1305" w:type="dxa"/>
            <w:noWrap w:val="0"/>
            <w:vAlign w:val="center"/>
          </w:tcPr>
          <w:p w14:paraId="70AD46E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预期性</w:t>
            </w:r>
          </w:p>
        </w:tc>
      </w:tr>
      <w:tr w14:paraId="00858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893" w:type="dxa"/>
            <w:noWrap w:val="0"/>
            <w:vAlign w:val="center"/>
          </w:tcPr>
          <w:p w14:paraId="66460F8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3550" w:type="dxa"/>
            <w:noWrap w:val="0"/>
            <w:vAlign w:val="center"/>
          </w:tcPr>
          <w:p w14:paraId="7B70D24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认知功能初筛阳性人群干预指导率</w:t>
            </w:r>
          </w:p>
        </w:tc>
        <w:tc>
          <w:tcPr>
            <w:tcW w:w="1955" w:type="dxa"/>
            <w:noWrap w:val="0"/>
            <w:vAlign w:val="center"/>
          </w:tcPr>
          <w:p w14:paraId="7E78A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lang w:val="e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</w:rPr>
              <w:t>0%</w:t>
            </w:r>
          </w:p>
        </w:tc>
        <w:tc>
          <w:tcPr>
            <w:tcW w:w="1915" w:type="dxa"/>
            <w:noWrap w:val="0"/>
            <w:vAlign w:val="center"/>
          </w:tcPr>
          <w:p w14:paraId="74B14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≥80%</w:t>
            </w:r>
          </w:p>
        </w:tc>
        <w:tc>
          <w:tcPr>
            <w:tcW w:w="1305" w:type="dxa"/>
            <w:noWrap w:val="0"/>
            <w:vAlign w:val="center"/>
          </w:tcPr>
          <w:p w14:paraId="2B7DB9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预期性</w:t>
            </w:r>
          </w:p>
        </w:tc>
      </w:tr>
      <w:tr w14:paraId="1692C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893" w:type="dxa"/>
            <w:noWrap w:val="0"/>
            <w:vAlign w:val="center"/>
          </w:tcPr>
          <w:p w14:paraId="1AD99E2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4</w:t>
            </w:r>
          </w:p>
        </w:tc>
        <w:tc>
          <w:tcPr>
            <w:tcW w:w="3550" w:type="dxa"/>
            <w:noWrap w:val="0"/>
            <w:vAlign w:val="center"/>
          </w:tcPr>
          <w:p w14:paraId="1401B2A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疑似认知障碍人群就诊率</w:t>
            </w:r>
          </w:p>
        </w:tc>
        <w:tc>
          <w:tcPr>
            <w:tcW w:w="1955" w:type="dxa"/>
            <w:noWrap w:val="0"/>
            <w:vAlign w:val="center"/>
          </w:tcPr>
          <w:p w14:paraId="756EA22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" w:eastAsia="en-US" w:bidi="ar-SA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  <w:t>%</w:t>
            </w:r>
          </w:p>
        </w:tc>
        <w:tc>
          <w:tcPr>
            <w:tcW w:w="1915" w:type="dxa"/>
            <w:noWrap w:val="0"/>
            <w:vAlign w:val="center"/>
          </w:tcPr>
          <w:p w14:paraId="70C3C27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≥50%</w:t>
            </w:r>
          </w:p>
        </w:tc>
        <w:tc>
          <w:tcPr>
            <w:tcW w:w="1305" w:type="dxa"/>
            <w:noWrap w:val="0"/>
            <w:vAlign w:val="center"/>
          </w:tcPr>
          <w:p w14:paraId="52060E1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预期性</w:t>
            </w:r>
          </w:p>
        </w:tc>
      </w:tr>
      <w:tr w14:paraId="62355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893" w:type="dxa"/>
            <w:noWrap w:val="0"/>
            <w:vAlign w:val="center"/>
          </w:tcPr>
          <w:p w14:paraId="5707BD9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5</w:t>
            </w:r>
          </w:p>
        </w:tc>
        <w:tc>
          <w:tcPr>
            <w:tcW w:w="3550" w:type="dxa"/>
            <w:noWrap w:val="0"/>
            <w:vAlign w:val="center"/>
          </w:tcPr>
          <w:p w14:paraId="7D2303F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培训基层医疗卫生机构专业技术人员数量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累计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55" w:type="dxa"/>
            <w:noWrap w:val="0"/>
            <w:vAlign w:val="center"/>
          </w:tcPr>
          <w:p w14:paraId="641B1EA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83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人次</w:t>
            </w:r>
          </w:p>
        </w:tc>
        <w:tc>
          <w:tcPr>
            <w:tcW w:w="1915" w:type="dxa"/>
            <w:noWrap w:val="0"/>
            <w:vAlign w:val="center"/>
          </w:tcPr>
          <w:p w14:paraId="3AF1B31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165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人次</w:t>
            </w:r>
          </w:p>
        </w:tc>
        <w:tc>
          <w:tcPr>
            <w:tcW w:w="1305" w:type="dxa"/>
            <w:noWrap w:val="0"/>
            <w:vAlign w:val="center"/>
          </w:tcPr>
          <w:p w14:paraId="418FD6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预期性</w:t>
            </w:r>
          </w:p>
        </w:tc>
      </w:tr>
      <w:tr w14:paraId="54DCF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893" w:type="dxa"/>
            <w:noWrap w:val="0"/>
            <w:vAlign w:val="center"/>
          </w:tcPr>
          <w:p w14:paraId="50A558A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6</w:t>
            </w:r>
          </w:p>
        </w:tc>
        <w:tc>
          <w:tcPr>
            <w:tcW w:w="3550" w:type="dxa"/>
            <w:noWrap w:val="0"/>
            <w:vAlign w:val="center"/>
          </w:tcPr>
          <w:p w14:paraId="416045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培训公立医院相关专科医师数量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累计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55" w:type="dxa"/>
            <w:noWrap w:val="0"/>
            <w:vAlign w:val="center"/>
          </w:tcPr>
          <w:p w14:paraId="0246A4C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</w:rPr>
              <w:t>人次</w:t>
            </w:r>
          </w:p>
        </w:tc>
        <w:tc>
          <w:tcPr>
            <w:tcW w:w="1915" w:type="dxa"/>
            <w:noWrap w:val="0"/>
            <w:vAlign w:val="center"/>
          </w:tcPr>
          <w:p w14:paraId="7D68988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人次</w:t>
            </w:r>
          </w:p>
        </w:tc>
        <w:tc>
          <w:tcPr>
            <w:tcW w:w="1305" w:type="dxa"/>
            <w:noWrap w:val="0"/>
            <w:vAlign w:val="center"/>
          </w:tcPr>
          <w:p w14:paraId="04B041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预期性</w:t>
            </w:r>
          </w:p>
        </w:tc>
      </w:tr>
      <w:tr w14:paraId="01BB8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  <w:jc w:val="center"/>
        </w:trPr>
        <w:tc>
          <w:tcPr>
            <w:tcW w:w="893" w:type="dxa"/>
            <w:noWrap w:val="0"/>
            <w:vAlign w:val="center"/>
          </w:tcPr>
          <w:p w14:paraId="53B9F7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7</w:t>
            </w:r>
          </w:p>
        </w:tc>
        <w:tc>
          <w:tcPr>
            <w:tcW w:w="3550" w:type="dxa"/>
            <w:noWrap w:val="0"/>
            <w:vAlign w:val="center"/>
          </w:tcPr>
          <w:p w14:paraId="3320AC6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91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100张床位以上且具备相应服务能力的养老服务机构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和医养结合机构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痴呆老年人照护专区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单元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设置率</w:t>
            </w:r>
          </w:p>
        </w:tc>
        <w:tc>
          <w:tcPr>
            <w:tcW w:w="1955" w:type="dxa"/>
            <w:noWrap w:val="0"/>
            <w:vAlign w:val="center"/>
          </w:tcPr>
          <w:p w14:paraId="0519367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%</w:t>
            </w:r>
          </w:p>
        </w:tc>
        <w:tc>
          <w:tcPr>
            <w:tcW w:w="1915" w:type="dxa"/>
            <w:noWrap w:val="0"/>
            <w:vAlign w:val="center"/>
          </w:tcPr>
          <w:p w14:paraId="6387C09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≥50%</w:t>
            </w:r>
          </w:p>
        </w:tc>
        <w:tc>
          <w:tcPr>
            <w:tcW w:w="1305" w:type="dxa"/>
            <w:noWrap w:val="0"/>
            <w:vAlign w:val="center"/>
          </w:tcPr>
          <w:p w14:paraId="551E77C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预期性</w:t>
            </w:r>
          </w:p>
        </w:tc>
      </w:tr>
      <w:tr w14:paraId="1B5B9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893" w:type="dxa"/>
            <w:noWrap w:val="0"/>
            <w:vAlign w:val="center"/>
          </w:tcPr>
          <w:p w14:paraId="0755221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8</w:t>
            </w:r>
          </w:p>
        </w:tc>
        <w:tc>
          <w:tcPr>
            <w:tcW w:w="3550" w:type="dxa"/>
            <w:noWrap w:val="0"/>
            <w:vAlign w:val="center"/>
          </w:tcPr>
          <w:p w14:paraId="433F773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11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线上线下培训痴呆老年人照护人员数量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累计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55" w:type="dxa"/>
            <w:noWrap w:val="0"/>
            <w:vAlign w:val="center"/>
          </w:tcPr>
          <w:p w14:paraId="624D776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次</w:t>
            </w:r>
          </w:p>
        </w:tc>
        <w:tc>
          <w:tcPr>
            <w:tcW w:w="1915" w:type="dxa"/>
            <w:noWrap w:val="0"/>
            <w:vAlign w:val="center"/>
          </w:tcPr>
          <w:p w14:paraId="33B1824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次</w:t>
            </w:r>
          </w:p>
        </w:tc>
        <w:tc>
          <w:tcPr>
            <w:tcW w:w="1305" w:type="dxa"/>
            <w:noWrap w:val="0"/>
            <w:vAlign w:val="center"/>
          </w:tcPr>
          <w:p w14:paraId="4ABBE7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预期性</w:t>
            </w:r>
          </w:p>
        </w:tc>
      </w:tr>
    </w:tbl>
    <w:p w14:paraId="1A511C6C">
      <w:pPr>
        <w:spacing w:line="600" w:lineRule="exact"/>
      </w:pPr>
      <w:bookmarkStart w:id="0" w:name="_GoBack"/>
      <w:bookmarkEnd w:id="0"/>
    </w:p>
    <w:sectPr>
      <w:footerReference r:id="rId3" w:type="default"/>
      <w:pgSz w:w="11906" w:h="16838"/>
      <w:pgMar w:top="1587" w:right="1588" w:bottom="1587" w:left="1588" w:header="851" w:footer="1134" w:gutter="0"/>
      <w:pgNumType w:fmt="decimal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DC02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B6F1D2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kX1r85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ehgXb2v&#10;ugeYQ8vCVj9YHtNEqbxdHQKkTYpHgTpV0Kl4wCSmnvVbE0f9z3OKevqnWD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DkX1r8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B6F1D2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86D65"/>
    <w:rsid w:val="0F9F4BA0"/>
    <w:rsid w:val="17E40634"/>
    <w:rsid w:val="2AC86D65"/>
    <w:rsid w:val="5EBA13EA"/>
    <w:rsid w:val="BE7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eastAsia="宋体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4121</Words>
  <Characters>4256</Characters>
  <Lines>0</Lines>
  <Paragraphs>0</Paragraphs>
  <TotalTime>4</TotalTime>
  <ScaleCrop>false</ScaleCrop>
  <LinksUpToDate>false</LinksUpToDate>
  <CharactersWithSpaces>4419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2026-01-22T11:30:00Z</dcterms:created>
  <dc:creator>林艳花</dc:creator>
  <cp:lastModifiedBy>船民</cp:lastModifiedBy>
  <dcterms:modified xsi:type="dcterms:W3CDTF">2026-02-06T13:19:34Z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071EC22F1A8B4DA1A0CB1EC0593A0DEE_13</vt:lpwstr>
  </property>
  <property fmtid="{D5CDD505-2E9C-101B-9397-08002B2CF9AE}" pid="4" name="KSOTemplateDocerSaveRecord">
    <vt:lpwstr>eyJoZGlkIjoiZjBhYTQ1YTYwYjc3M2NmNDU4NDllMGI4NGVkOWQwYTYiLCJ1c2VySWQiOiIxMTYxNDY2Mjg0In0=</vt:lpwstr>
  </property>
</Properties>
</file>