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zh-TW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zh-TW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/>
          <w:color w:val="000000"/>
          <w:sz w:val="42"/>
          <w:szCs w:val="42"/>
          <w:lang w:val="zh-TW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color w:val="000000"/>
          <w:sz w:val="42"/>
          <w:szCs w:val="42"/>
          <w:lang w:val="zh-TW"/>
        </w:rPr>
        <w:t>采购服务评分表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tbl>
      <w:tblPr>
        <w:tblStyle w:val="3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185"/>
        <w:gridCol w:w="1245"/>
        <w:gridCol w:w="3856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评审分项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68" w:hRule="atLeas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8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以所有合格投标人评标价的最低价作为评分基准价。投标人的价格分按下式计算：价格分=（评分基准价/评标价）×30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65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商务评定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根据投标人资产背景、财务状况、经营情况、公司荣誉资质等综合实力进行综合比较。优10-8分，良7-5分，一般4分以下。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65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对投标人项目经验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行评价，需提供近三年参与同类项目合同证明。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每个服务项目可得5分，该项最高得30分。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根据投标人的服务方案，包括运营团队人员架构是否完善，策划设计、流程节点、实施计划等是否完善周到、可行，进行综合比较。优20-14分，良13-7分，一般6分以下。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73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A4C57DA"/>
    <w:rsid w:val="128B66BB"/>
    <w:rsid w:val="23595C75"/>
    <w:rsid w:val="26E248EC"/>
    <w:rsid w:val="449328CD"/>
    <w:rsid w:val="47D278DB"/>
    <w:rsid w:val="4FF84D7B"/>
    <w:rsid w:val="507907D5"/>
    <w:rsid w:val="523C209A"/>
    <w:rsid w:val="76E5271E"/>
    <w:rsid w:val="7C497DD6"/>
    <w:rsid w:val="F6FEA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355</Words>
  <Characters>386</Characters>
  <Lines>0</Lines>
  <Paragraphs>0</Paragraphs>
  <TotalTime>915</TotalTime>
  <ScaleCrop>false</ScaleCrop>
  <LinksUpToDate>false</LinksUpToDate>
  <CharactersWithSpaces>443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2023-09-18T10:35:00Z</dcterms:created>
  <dc:creator>杨美霞</dc:creator>
  <cp:lastModifiedBy>greatwall</cp:lastModifiedBy>
  <dcterms:modified xsi:type="dcterms:W3CDTF">2026-04-03T15:57:25Z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7D90B02488034192945392FBC3EA5B21_13</vt:lpwstr>
  </property>
</Properties>
</file>