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default" w:ascii="Times New Roman" w:hAnsi="Times New Roman" w:eastAsia="方正小标宋简体" w:cs="Times New Roman"/>
          <w:bCs/>
          <w:color w:val="000000" w:themeColor="text1"/>
          <w:kern w:val="36"/>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36"/>
          <w:sz w:val="44"/>
          <w:szCs w:val="44"/>
          <w14:textFill>
            <w14:solidFill>
              <w14:schemeClr w14:val="tx1"/>
            </w14:solidFill>
          </w14:textFill>
        </w:rPr>
        <w:t>江门市应急管理局2021年度</w:t>
      </w:r>
    </w:p>
    <w:p>
      <w:pPr>
        <w:widowControl/>
        <w:shd w:val="clear" w:color="auto" w:fill="FFFFFF"/>
        <w:spacing w:line="560" w:lineRule="exact"/>
        <w:jc w:val="center"/>
        <w:outlineLvl w:val="0"/>
        <w:rPr>
          <w:rFonts w:ascii="Times New Roman" w:hAnsi="Times New Roman" w:eastAsia="方正小标宋简体" w:cs="Times New Roman"/>
          <w:bCs/>
          <w:color w:val="000000" w:themeColor="text1"/>
          <w:kern w:val="36"/>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36"/>
          <w:sz w:val="44"/>
          <w:szCs w:val="44"/>
          <w14:textFill>
            <w14:solidFill>
              <w14:schemeClr w14:val="tx1"/>
            </w14:solidFill>
          </w14:textFill>
        </w:rPr>
        <w:t>政府信息公开工作年度报告</w:t>
      </w:r>
    </w:p>
    <w:p>
      <w:pPr>
        <w:widowControl/>
        <w:wordWrap w:val="0"/>
        <w:spacing w:line="560" w:lineRule="exact"/>
        <w:jc w:val="left"/>
        <w:rPr>
          <w:rFonts w:ascii="Times New Roman" w:hAnsi="Times New Roman" w:eastAsia="宋体_GB2312" w:cs="Times New Roman"/>
          <w:color w:val="000000" w:themeColor="text1"/>
          <w:kern w:val="0"/>
          <w:sz w:val="32"/>
          <w:szCs w:val="32"/>
          <w14:textFill>
            <w14:solidFill>
              <w14:schemeClr w14:val="tx1"/>
            </w14:solidFill>
          </w14:textFill>
        </w:rPr>
      </w:pPr>
    </w:p>
    <w:p>
      <w:pPr>
        <w:widowControl/>
        <w:wordWrap w:val="0"/>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按照《中华人民共和国政府信息公开条例》（以下简称《条例》）规定，现公布《江门市应急管理局2021年政府信息公开工作年度报告》。本报告由总体情况、主动公开政府信息情况、收到和处理政府信息公开申请情况、政府信息公开行政复议和行政诉讼情况、存在的主要问题及改进情况、其他需要报告的事项等六部分组成，内容涵盖我局2021年1月1日至12月31日期间的政府信息公开工作情况。</w:t>
      </w:r>
    </w:p>
    <w:p>
      <w:pPr>
        <w:widowControl/>
        <w:wordWrap w:val="0"/>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报告的电子版，可在江门市应急管理局网站（http://www.jiangmen.gov.cn/bmpd/jmsyjglj/index.html）下载。如对本报告有任何疑问，请与江门市应急管理局办公室联系（地址：江门市农林东路23号，邮编：529000，电话：0750-3279639，传真:0750-3279639）。</w:t>
      </w:r>
    </w:p>
    <w:p>
      <w:pPr>
        <w:widowControl/>
        <w:wordWrap w:val="0"/>
        <w:spacing w:line="560" w:lineRule="exac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一、总体情况</w:t>
      </w:r>
    </w:p>
    <w:p>
      <w:pPr>
        <w:widowControl/>
        <w:wordWrap w:val="0"/>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2021年，我局以习近平新时代中国特色社会主义思想为指导，深入学习党的十九大和十九届二中、三中、四中、五中、六中全会精神，认真贯彻落实习近平总书记关于应急管理、安全生产和防灾减灾的重要指示批示精神，按照《条例》要求，紧紧围绕应急管理和安全生产中心工作以及群众关注关切，以依法公开、真实公开、规范高效、强化监督为原则，依法、及时、准确地公开相关政府信息。</w:t>
      </w:r>
    </w:p>
    <w:p>
      <w:pPr>
        <w:widowControl/>
        <w:wordWrap w:val="0"/>
        <w:spacing w:line="56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（一）进一步强化领导。</w:t>
      </w:r>
      <w:r>
        <w:rPr>
          <w:rFonts w:hint="eastAsia" w:ascii="仿宋" w:hAnsi="仿宋" w:eastAsia="仿宋" w:cs="仿宋"/>
          <w:color w:val="000000" w:themeColor="text1"/>
          <w:kern w:val="0"/>
          <w:sz w:val="32"/>
          <w:szCs w:val="32"/>
          <w14:textFill>
            <w14:solidFill>
              <w14:schemeClr w14:val="tx1"/>
            </w14:solidFill>
          </w14:textFill>
        </w:rPr>
        <w:t>成立了由局主要负责人担任政府信息公开工作领导小组组长的政务公开工作领导小组，明确专人负责政府信息公开工作。局长办公会议适时听取政府信息公开工作汇报，研究部署政府信息公开工作。制定并发布主动公开基本目录，严格在规定的时限内主动公开相关信息。</w:t>
      </w:r>
    </w:p>
    <w:p>
      <w:pPr>
        <w:widowControl/>
        <w:wordWrap w:val="0"/>
        <w:spacing w:line="56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（二）进一步程序规范。</w:t>
      </w:r>
      <w:r>
        <w:rPr>
          <w:rFonts w:hint="eastAsia" w:ascii="仿宋" w:hAnsi="仿宋" w:eastAsia="仿宋" w:cs="仿宋"/>
          <w:color w:val="000000" w:themeColor="text1"/>
          <w:kern w:val="0"/>
          <w:sz w:val="32"/>
          <w:szCs w:val="32"/>
          <w14:textFill>
            <w14:solidFill>
              <w14:schemeClr w14:val="tx1"/>
            </w14:solidFill>
          </w14:textFill>
        </w:rPr>
        <w:t>不断优化信息管理、信息发布、解读回应、依申请公开、舆情研判、监督考核等工作流程，及时修订政府信息公开指南，完善《江门市应急管理局政府信息公开工作制度》等相关制度，规范依申请公开工作；进一步规范政务信息公开工作流程，按照“谁起草、谁审核、谁公开、谁负责”的原则，严格落实信息公开分级保密审查，全面规范我局政府信息公开工作的原则、内容、程序和形式等。</w:t>
      </w:r>
    </w:p>
    <w:p>
      <w:pPr>
        <w:widowControl/>
        <w:wordWrap w:val="0"/>
        <w:spacing w:line="56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（三）进一步丰富内容。</w:t>
      </w:r>
      <w:r>
        <w:rPr>
          <w:rFonts w:hint="eastAsia" w:ascii="仿宋" w:hAnsi="仿宋" w:eastAsia="仿宋" w:cs="仿宋"/>
          <w:color w:val="000000" w:themeColor="text1"/>
          <w:kern w:val="0"/>
          <w:sz w:val="32"/>
          <w:szCs w:val="32"/>
          <w14:textFill>
            <w14:solidFill>
              <w14:schemeClr w14:val="tx1"/>
            </w14:solidFill>
          </w14:textFill>
        </w:rPr>
        <w:t>严格按照“公开为常态、不公开为例外”原则，积极扩大主动公开的范围和深度，进一步丰富公开内容。不断优化丰富信息公开栏目设置，并通过“江门应急管理”南方号、微信公众号等多种形式发布政务信息，进一步拓宽信息公开渠道。2021年，我局在政府信息公开目录系统主动公开政府信息255条，主要包括组织机构类、行政执法类、办事指南类、工作动态类、财政预决算类、单位文件类等工作信息；通过江门市应急管理局部门频道发布信息491条，更新公众互动答问信息48条，公开征集意见2条，反馈网民对调查征集信息1条。</w:t>
      </w:r>
      <w:r>
        <w:rPr>
          <w:rFonts w:hint="eastAsia" w:ascii="仿宋" w:hAnsi="仿宋" w:eastAsia="仿宋" w:cs="仿宋"/>
          <w:color w:val="000000" w:themeColor="text1"/>
          <w:kern w:val="0"/>
          <w:sz w:val="32"/>
          <w:szCs w:val="32"/>
          <w:lang w:val="zh-CN"/>
          <w14:textFill>
            <w14:solidFill>
              <w14:schemeClr w14:val="tx1"/>
            </w14:solidFill>
          </w14:textFill>
        </w:rPr>
        <w:t>通过“江门应急管理”微信公众号发布信息1920条、南方号发布信息1799条、今日头条发布信息1987条、新浪微博发布信息898条</w:t>
      </w:r>
      <w:r>
        <w:rPr>
          <w:rFonts w:hint="eastAsia" w:ascii="仿宋" w:hAnsi="仿宋" w:eastAsia="仿宋" w:cs="仿宋"/>
          <w:color w:val="000000" w:themeColor="text1"/>
          <w:kern w:val="0"/>
          <w:sz w:val="32"/>
          <w:szCs w:val="32"/>
          <w14:textFill>
            <w14:solidFill>
              <w14:schemeClr w14:val="tx1"/>
            </w14:solidFill>
          </w14:textFill>
        </w:rPr>
        <w:t>。</w:t>
      </w:r>
    </w:p>
    <w:p>
      <w:pPr>
        <w:widowControl/>
        <w:wordWrap w:val="0"/>
        <w:spacing w:line="580" w:lineRule="exac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二、主动公开政府信息情况</w:t>
      </w:r>
    </w:p>
    <w:tbl>
      <w:tblPr>
        <w:tblStyle w:val="3"/>
        <w:tblW w:w="9676" w:type="dxa"/>
        <w:jc w:val="center"/>
        <w:tblInd w:w="-448" w:type="dxa"/>
        <w:shd w:val="clear" w:color="auto" w:fill="FFFFFF" w:themeFill="background1"/>
        <w:tblLayout w:type="fixed"/>
        <w:tblCellMar>
          <w:top w:w="15" w:type="dxa"/>
          <w:left w:w="15" w:type="dxa"/>
          <w:bottom w:w="15" w:type="dxa"/>
          <w:right w:w="15" w:type="dxa"/>
        </w:tblCellMar>
      </w:tblPr>
      <w:tblGrid>
        <w:gridCol w:w="2435"/>
        <w:gridCol w:w="2435"/>
        <w:gridCol w:w="2435"/>
        <w:gridCol w:w="2371"/>
      </w:tblGrid>
      <w:tr>
        <w:tblPrEx>
          <w:shd w:val="clear" w:color="auto" w:fill="FFFFFF" w:themeFill="background1"/>
          <w:tblLayout w:type="fixed"/>
          <w:tblCellMar>
            <w:top w:w="15" w:type="dxa"/>
            <w:left w:w="15" w:type="dxa"/>
            <w:bottom w:w="15" w:type="dxa"/>
            <w:right w:w="15" w:type="dxa"/>
          </w:tblCellMar>
        </w:tblPrEx>
        <w:trPr>
          <w:trHeight w:val="340" w:hRule="atLeast"/>
          <w:jc w:val="center"/>
        </w:trPr>
        <w:tc>
          <w:tcPr>
            <w:tcW w:w="9676"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tabs>
                <w:tab w:val="center" w:pos="4841"/>
                <w:tab w:val="left" w:pos="6893"/>
              </w:tabs>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ab/>
            </w:r>
            <w:r>
              <w:rPr>
                <w:rFonts w:hint="eastAsia" w:ascii="仿宋" w:hAnsi="仿宋" w:eastAsia="仿宋" w:cs="仿宋"/>
                <w:color w:val="000000" w:themeColor="text1"/>
                <w:kern w:val="0"/>
                <w:sz w:val="24"/>
                <w:szCs w:val="24"/>
                <w:lang w:bidi="ar"/>
                <w14:textFill>
                  <w14:solidFill>
                    <w14:schemeClr w14:val="tx1"/>
                  </w14:solidFill>
                </w14:textFill>
              </w:rPr>
              <w:t>第二十条第（一）项</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本年废止件数</w:t>
            </w:r>
          </w:p>
        </w:tc>
        <w:tc>
          <w:tcPr>
            <w:tcW w:w="2371"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现行有效件数</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w:t>
            </w:r>
          </w:p>
        </w:tc>
        <w:tc>
          <w:tcPr>
            <w:tcW w:w="237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w:t>
            </w:r>
          </w:p>
        </w:tc>
        <w:tc>
          <w:tcPr>
            <w:tcW w:w="237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r>
      <w:tr>
        <w:tblPrEx>
          <w:tblLayout w:type="fixed"/>
          <w:tblCellMar>
            <w:top w:w="15" w:type="dxa"/>
            <w:left w:w="15" w:type="dxa"/>
            <w:bottom w:w="15" w:type="dxa"/>
            <w:right w:w="15" w:type="dxa"/>
          </w:tblCellMar>
        </w:tblPrEx>
        <w:trPr>
          <w:trHeight w:val="340" w:hRule="atLeast"/>
          <w:jc w:val="center"/>
        </w:trPr>
        <w:tc>
          <w:tcPr>
            <w:tcW w:w="9676"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第二十条第（五）项</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信息内容</w:t>
            </w:r>
          </w:p>
        </w:tc>
        <w:tc>
          <w:tcPr>
            <w:tcW w:w="7241"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本年处理决定数量</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行政许可</w:t>
            </w:r>
          </w:p>
        </w:tc>
        <w:tc>
          <w:tcPr>
            <w:tcW w:w="7241"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18951</w:t>
            </w:r>
          </w:p>
        </w:tc>
      </w:tr>
      <w:tr>
        <w:tblPrEx>
          <w:tblLayout w:type="fixed"/>
          <w:tblCellMar>
            <w:top w:w="15" w:type="dxa"/>
            <w:left w:w="15" w:type="dxa"/>
            <w:bottom w:w="15" w:type="dxa"/>
            <w:right w:w="15" w:type="dxa"/>
          </w:tblCellMar>
        </w:tblPrEx>
        <w:trPr>
          <w:trHeight w:val="340" w:hRule="atLeast"/>
          <w:jc w:val="center"/>
        </w:trPr>
        <w:tc>
          <w:tcPr>
            <w:tcW w:w="9676"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第二十条第（六）项</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信息内容</w:t>
            </w:r>
          </w:p>
        </w:tc>
        <w:tc>
          <w:tcPr>
            <w:tcW w:w="7241"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本年处理决定数量</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w:t>
            </w:r>
          </w:p>
        </w:tc>
        <w:tc>
          <w:tcPr>
            <w:tcW w:w="7241"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11</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行政强制</w:t>
            </w:r>
          </w:p>
        </w:tc>
        <w:tc>
          <w:tcPr>
            <w:tcW w:w="7241"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r>
      <w:tr>
        <w:tblPrEx>
          <w:tblLayout w:type="fixed"/>
          <w:tblCellMar>
            <w:top w:w="15" w:type="dxa"/>
            <w:left w:w="15" w:type="dxa"/>
            <w:bottom w:w="15" w:type="dxa"/>
            <w:right w:w="15" w:type="dxa"/>
          </w:tblCellMar>
        </w:tblPrEx>
        <w:trPr>
          <w:trHeight w:val="340" w:hRule="atLeast"/>
          <w:jc w:val="center"/>
        </w:trPr>
        <w:tc>
          <w:tcPr>
            <w:tcW w:w="9676"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第二十条第（八）项</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信息内容</w:t>
            </w:r>
          </w:p>
        </w:tc>
        <w:tc>
          <w:tcPr>
            <w:tcW w:w="7241"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本年收费金额（单位：万元）</w:t>
            </w:r>
          </w:p>
        </w:tc>
      </w:tr>
      <w:tr>
        <w:tblPrEx>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行政事业性收费</w:t>
            </w:r>
          </w:p>
        </w:tc>
        <w:tc>
          <w:tcPr>
            <w:tcW w:w="7241"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bl>
    <w:p>
      <w:pPr>
        <w:pStyle w:val="2"/>
        <w:spacing w:before="0" w:beforeAutospacing="0" w:after="0" w:afterAutospacing="0"/>
        <w:ind w:firstLine="420"/>
        <w:jc w:val="both"/>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三、收到和处理政府信息公开申请情况</w:t>
      </w: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
      <w:tblGrid>
        <w:gridCol w:w="772"/>
        <w:gridCol w:w="948"/>
        <w:gridCol w:w="3281"/>
        <w:gridCol w:w="697"/>
        <w:gridCol w:w="697"/>
        <w:gridCol w:w="697"/>
        <w:gridCol w:w="697"/>
        <w:gridCol w:w="697"/>
        <w:gridCol w:w="697"/>
        <w:gridCol w:w="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Ex>
        <w:trPr>
          <w:jc w:val="center"/>
        </w:trPr>
        <w:tc>
          <w:tcPr>
            <w:tcW w:w="5001" w:type="dxa"/>
            <w:gridSpan w:val="3"/>
            <w:vMerge w:val="restart"/>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（本列数据的勾稽关系为：第一项加第二项之和，等于第三项加第四项之和）</w:t>
            </w:r>
          </w:p>
        </w:tc>
        <w:tc>
          <w:tcPr>
            <w:tcW w:w="4747" w:type="dxa"/>
            <w:gridSpan w:val="7"/>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001" w:type="dxa"/>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97" w:type="dxa"/>
            <w:vMerge w:val="restart"/>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自然人</w:t>
            </w:r>
          </w:p>
        </w:tc>
        <w:tc>
          <w:tcPr>
            <w:tcW w:w="3485" w:type="dxa"/>
            <w:gridSpan w:val="5"/>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法人或其他组织</w:t>
            </w:r>
          </w:p>
        </w:tc>
        <w:tc>
          <w:tcPr>
            <w:tcW w:w="565" w:type="dxa"/>
            <w:vMerge w:val="restart"/>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001" w:type="dxa"/>
            <w:gridSpan w:val="3"/>
            <w:vMerge w:val="continue"/>
            <w:tcBorders>
              <w:top w:val="single" w:color="auto" w:sz="8" w:space="0"/>
              <w:left w:val="single" w:color="auto" w:sz="8" w:space="0"/>
              <w:bottom w:val="outset"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97" w:type="dxa"/>
            <w:vMerge w:val="continue"/>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商业</w:t>
            </w:r>
          </w:p>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企业</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科研</w:t>
            </w:r>
          </w:p>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机构</w:t>
            </w:r>
          </w:p>
        </w:tc>
        <w:tc>
          <w:tcPr>
            <w:tcW w:w="697"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社会公益组织</w:t>
            </w:r>
          </w:p>
        </w:tc>
        <w:tc>
          <w:tcPr>
            <w:tcW w:w="697"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法律服务机构</w:t>
            </w:r>
          </w:p>
        </w:tc>
        <w:tc>
          <w:tcPr>
            <w:tcW w:w="697"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w:t>
            </w:r>
          </w:p>
        </w:tc>
        <w:tc>
          <w:tcPr>
            <w:tcW w:w="565" w:type="dxa"/>
            <w:vMerge w:val="continue"/>
            <w:tcBorders>
              <w:top w:val="single"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001" w:type="dxa"/>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一、本年新收政府信息公开申请数量</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001" w:type="dxa"/>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二、上年结转政府信息公开申请数量</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restart"/>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三、本年度办理结果</w:t>
            </w:r>
          </w:p>
        </w:tc>
        <w:tc>
          <w:tcPr>
            <w:tcW w:w="4229" w:type="dxa"/>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（一）予以公开</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4229" w:type="dxa"/>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（二）部分公开（区分处理的，只计这一情形，不计其他情形）</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（三）不予公开</w:t>
            </w: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1.属于国家秘密</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2.其他法律行政法规禁止公开</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3.危及“三安全一稳定”</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4.保护第三方合法权益</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5.属于三类内部事务信息</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6.属于四类过程性信息</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7.属于行政执法案卷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8.属于行政查询事项</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（四）无法提供</w:t>
            </w: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1.本机关不掌握相关政府信息</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2.没有现成信息需要另行制作</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3.补正后申请内容仍不明确</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restart"/>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（五）不予处理</w:t>
            </w: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1.信访举报投诉类申请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2.重复申请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3.要求提供公开出版物</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4.无正当理由大量反复申请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7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5.要求行政机关确认或重新出具已获取信息</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restart"/>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（六）其他处理</w:t>
            </w: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948" w:type="dxa"/>
            <w:vMerge w:val="continue"/>
            <w:tcBorders>
              <w:top w:val="outset" w:color="auto" w:sz="8" w:space="0"/>
              <w:left w:val="nil"/>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3281"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3.其他</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72" w:type="dxa"/>
            <w:vMerge w:val="continue"/>
            <w:tcBorders>
              <w:top w:val="nil"/>
              <w:left w:val="single" w:color="auto" w:sz="8" w:space="0"/>
              <w:bottom w:val="outset" w:color="auto" w:sz="8" w:space="0"/>
              <w:right w:val="single" w:color="auto" w:sz="8" w:space="0"/>
            </w:tcBorders>
            <w:shd w:val="clear" w:color="auto" w:fill="FFFFFF" w:themeFill="background1"/>
            <w:tcMar>
              <w:top w:w="0" w:type="dxa"/>
              <w:left w:w="57" w:type="dxa"/>
              <w:bottom w:w="0" w:type="dxa"/>
              <w:right w:w="57"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4229" w:type="dxa"/>
            <w:gridSpan w:val="2"/>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（七）总计</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001" w:type="dxa"/>
            <w:gridSpan w:val="3"/>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四、结转下年度继续办理</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97"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r>
    </w:tbl>
    <w:p>
      <w:pPr>
        <w:pStyle w:val="2"/>
        <w:spacing w:before="0" w:beforeAutospacing="0" w:after="0" w:afterAutospacing="0"/>
        <w:ind w:firstLine="42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四、政府信息公开行政复议、行政诉讼情况</w:t>
      </w:r>
    </w:p>
    <w:tbl>
      <w:tblPr>
        <w:tblStyle w:val="3"/>
        <w:tblW w:w="9729" w:type="dxa"/>
        <w:jc w:val="center"/>
        <w:tblInd w:w="-1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
      <w:tblGrid>
        <w:gridCol w:w="483"/>
        <w:gridCol w:w="561"/>
        <w:gridCol w:w="615"/>
        <w:gridCol w:w="615"/>
        <w:gridCol w:w="600"/>
        <w:gridCol w:w="660"/>
        <w:gridCol w:w="660"/>
        <w:gridCol w:w="690"/>
        <w:gridCol w:w="720"/>
        <w:gridCol w:w="615"/>
        <w:gridCol w:w="660"/>
        <w:gridCol w:w="690"/>
        <w:gridCol w:w="825"/>
        <w:gridCol w:w="675"/>
        <w:gridCol w:w="6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15" w:type="dxa"/>
            <w:left w:w="15" w:type="dxa"/>
            <w:bottom w:w="15" w:type="dxa"/>
            <w:right w:w="15" w:type="dxa"/>
          </w:tblCellMar>
        </w:tblPrEx>
        <w:trPr>
          <w:trHeight w:val="502" w:hRule="atLeast"/>
          <w:jc w:val="center"/>
        </w:trPr>
        <w:tc>
          <w:tcPr>
            <w:tcW w:w="2874"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行政复议</w:t>
            </w:r>
          </w:p>
        </w:tc>
        <w:tc>
          <w:tcPr>
            <w:tcW w:w="6855"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2" w:hRule="atLeast"/>
          <w:jc w:val="center"/>
        </w:trPr>
        <w:tc>
          <w:tcPr>
            <w:tcW w:w="483" w:type="dxa"/>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结果维持</w:t>
            </w:r>
          </w:p>
        </w:tc>
        <w:tc>
          <w:tcPr>
            <w:tcW w:w="561" w:type="dxa"/>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结果纠正</w:t>
            </w:r>
          </w:p>
        </w:tc>
        <w:tc>
          <w:tcPr>
            <w:tcW w:w="61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其他结果</w:t>
            </w:r>
          </w:p>
        </w:tc>
        <w:tc>
          <w:tcPr>
            <w:tcW w:w="61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尚未审结</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总计</w:t>
            </w:r>
          </w:p>
        </w:tc>
        <w:tc>
          <w:tcPr>
            <w:tcW w:w="3345"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未经复议直接起诉</w:t>
            </w:r>
          </w:p>
        </w:tc>
        <w:tc>
          <w:tcPr>
            <w:tcW w:w="351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2" w:hRule="atLeast"/>
          <w:jc w:val="center"/>
        </w:trPr>
        <w:tc>
          <w:tcPr>
            <w:tcW w:w="483" w:type="dxa"/>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561" w:type="dxa"/>
            <w:vMerge w:val="continue"/>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1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1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rPr>
                <w:rFonts w:hint="eastAsia" w:ascii="仿宋" w:hAnsi="仿宋" w:eastAsia="仿宋" w:cs="仿宋"/>
                <w:color w:val="000000" w:themeColor="text1"/>
                <w:szCs w:val="21"/>
                <w14:textFill>
                  <w14:solidFill>
                    <w14:schemeClr w14:val="tx1"/>
                  </w14:solidFill>
                </w14:textFill>
              </w:rPr>
            </w:pP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结果维持</w:t>
            </w: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结果纠正</w:t>
            </w:r>
          </w:p>
        </w:tc>
        <w:tc>
          <w:tcPr>
            <w:tcW w:w="69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其他结果</w:t>
            </w:r>
          </w:p>
        </w:tc>
        <w:tc>
          <w:tcPr>
            <w:tcW w:w="72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尚未审结</w:t>
            </w:r>
          </w:p>
        </w:tc>
        <w:tc>
          <w:tcPr>
            <w:tcW w:w="61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总计</w:t>
            </w:r>
          </w:p>
        </w:tc>
        <w:tc>
          <w:tcPr>
            <w:tcW w:w="66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结果维持</w:t>
            </w:r>
          </w:p>
        </w:tc>
        <w:tc>
          <w:tcPr>
            <w:tcW w:w="69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结果纠正</w:t>
            </w:r>
          </w:p>
        </w:tc>
        <w:tc>
          <w:tcPr>
            <w:tcW w:w="82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w:t>
            </w:r>
          </w:p>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结果</w:t>
            </w:r>
          </w:p>
        </w:tc>
        <w:tc>
          <w:tcPr>
            <w:tcW w:w="67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尚未审结</w:t>
            </w:r>
          </w:p>
        </w:tc>
        <w:tc>
          <w:tcPr>
            <w:tcW w:w="66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71" w:hRule="atLeast"/>
          <w:jc w:val="center"/>
        </w:trPr>
        <w:tc>
          <w:tcPr>
            <w:tcW w:w="48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56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 0</w:t>
            </w:r>
          </w:p>
        </w:tc>
        <w:tc>
          <w:tcPr>
            <w:tcW w:w="61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1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72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1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9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82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7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660"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r>
    </w:tbl>
    <w:p>
      <w:pPr>
        <w:widowControl/>
        <w:wordWrap w:val="0"/>
        <w:spacing w:line="580" w:lineRule="exac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五、存在的主要问题及改进情况</w:t>
      </w:r>
    </w:p>
    <w:p>
      <w:pPr>
        <w:widowControl/>
        <w:wordWrap w:val="0"/>
        <w:spacing w:line="58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2021年，我局政府信息公开工作虽然取得了一些成效，但仍存在一些问题，主要表现在：一是公开的内容重点不够突出，内容不够丰富，如政策解读类信息的公开形式有待进一步丰富完善；二是公开的内容更新维护时效性有待进一步加强，如及时清理已废止或已失效的政策法规类文件。</w:t>
      </w:r>
    </w:p>
    <w:p>
      <w:pPr>
        <w:widowControl/>
        <w:wordWrap w:val="0"/>
        <w:spacing w:line="58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针对以上不足，我局将采取以下措施完善信息公开工作：</w:t>
      </w:r>
    </w:p>
    <w:p>
      <w:pPr>
        <w:widowControl/>
        <w:wordWrap w:val="0"/>
        <w:spacing w:line="58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一是强化信息公开管理。</w:t>
      </w:r>
      <w:r>
        <w:rPr>
          <w:rFonts w:hint="eastAsia" w:ascii="仿宋" w:hAnsi="仿宋" w:eastAsia="仿宋" w:cs="仿宋"/>
          <w:color w:val="000000" w:themeColor="text1"/>
          <w:kern w:val="0"/>
          <w:sz w:val="32"/>
          <w:szCs w:val="32"/>
          <w14:textFill>
            <w14:solidFill>
              <w14:schemeClr w14:val="tx1"/>
            </w14:solidFill>
          </w14:textFill>
        </w:rPr>
        <w:t>进一步深入学习《条例》，增强对政府信息公开工作的认识，加强信息公开工作人员业务素质培训，把《条例》的要求融入日常工作中，确保组织到位、措施到位、责任到位。</w:t>
      </w:r>
    </w:p>
    <w:p>
      <w:pPr>
        <w:widowControl/>
        <w:wordWrap w:val="0"/>
        <w:spacing w:line="58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二是规范信息工作流程。</w:t>
      </w:r>
      <w:r>
        <w:rPr>
          <w:rFonts w:hint="eastAsia" w:ascii="仿宋" w:hAnsi="仿宋" w:eastAsia="仿宋" w:cs="仿宋"/>
          <w:color w:val="000000" w:themeColor="text1"/>
          <w:kern w:val="0"/>
          <w:sz w:val="32"/>
          <w:szCs w:val="32"/>
          <w14:textFill>
            <w14:solidFill>
              <w14:schemeClr w14:val="tx1"/>
            </w14:solidFill>
          </w14:textFill>
        </w:rPr>
        <w:t>进一步健全政府信息公开制度，严格规范信息的收集、编制、审查、发布等各环节程序，明确分工，形成长效机制，提高公开质量，加强公开的及时性。</w:t>
      </w:r>
    </w:p>
    <w:p>
      <w:pPr>
        <w:widowControl/>
        <w:wordWrap w:val="0"/>
        <w:spacing w:line="580" w:lineRule="exact"/>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三是丰富信息公开形式。</w:t>
      </w:r>
      <w:r>
        <w:rPr>
          <w:rFonts w:hint="eastAsia" w:ascii="仿宋" w:hAnsi="仿宋" w:eastAsia="仿宋" w:cs="仿宋"/>
          <w:color w:val="000000" w:themeColor="text1"/>
          <w:kern w:val="0"/>
          <w:sz w:val="32"/>
          <w:szCs w:val="32"/>
          <w14:textFill>
            <w14:solidFill>
              <w14:schemeClr w14:val="tx1"/>
            </w14:solidFill>
          </w14:textFill>
        </w:rPr>
        <w:t>进一步丰富政府信息公开形式和渠道，开展好应急管理、安全生产及防灾减灾宣传工作，提高政策解读类信息水平，扩大信息覆盖面。</w:t>
      </w:r>
    </w:p>
    <w:p>
      <w:pPr>
        <w:widowControl/>
        <w:wordWrap w:val="0"/>
        <w:spacing w:line="580" w:lineRule="exac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六、其他需要报告的事项</w:t>
      </w:r>
    </w:p>
    <w:p>
      <w:pPr>
        <w:widowControl/>
        <w:wordWrap w:val="0"/>
        <w:spacing w:line="58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2021年，我局新增了“六稳”“六保”专栏，专栏发布信息8条。</w:t>
      </w:r>
    </w:p>
    <w:p>
      <w:bookmarkStart w:id="0" w:name="_GoBack"/>
      <w:bookmarkEnd w:id="0"/>
    </w:p>
    <w:sectPr>
      <w:pgSz w:w="11906" w:h="16838"/>
      <w:pgMar w:top="2155"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0474D"/>
    <w:rsid w:val="3630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江门市应急管理局</Company>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2022-01-24T02:37:00Z</dcterms:created>
  <dc:creator>mjh</dc:creator>
  <cp:lastModifiedBy>mjh</cp:lastModifiedBy>
  <dcterms:modified xsi:type="dcterms:W3CDTF">2022-01-24T02:38:09Z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