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Style w:val="7"/>
          <w:rFonts w:hint="eastAsia" w:ascii="方正小标宋_GBK" w:hAnsi="方正小标宋_GBK" w:eastAsia="方正小标宋_GBK" w:cs="方正小标宋_GBK"/>
          <w:sz w:val="44"/>
          <w:szCs w:val="44"/>
        </w:rPr>
      </w:pPr>
      <w:r>
        <w:rPr>
          <w:rStyle w:val="7"/>
          <w:rFonts w:hint="eastAsia" w:ascii="方正小标宋_GBK" w:hAnsi="方正小标宋_GBK" w:eastAsia="方正小标宋_GBK" w:cs="方正小标宋_GBK"/>
          <w:sz w:val="44"/>
          <w:szCs w:val="44"/>
        </w:rPr>
        <w:t>江门市</w:t>
      </w:r>
      <w:r>
        <w:rPr>
          <w:rStyle w:val="7"/>
          <w:rFonts w:hint="eastAsia" w:ascii="方正小标宋_GBK" w:hAnsi="方正小标宋_GBK" w:eastAsia="方正小标宋_GBK" w:cs="方正小标宋_GBK"/>
          <w:sz w:val="44"/>
          <w:szCs w:val="44"/>
        </w:rPr>
        <w:t>企业开办</w:t>
      </w:r>
      <w:r>
        <w:rPr>
          <w:rStyle w:val="7"/>
          <w:rFonts w:hint="eastAsia" w:ascii="方正小标宋_GBK" w:hAnsi="方正小标宋_GBK" w:eastAsia="方正小标宋_GBK" w:cs="方正小标宋_GBK"/>
          <w:sz w:val="44"/>
          <w:szCs w:val="44"/>
        </w:rPr>
        <w:t>一窗通取工作机制</w:t>
      </w:r>
    </w:p>
    <w:p>
      <w:pPr>
        <w:jc w:val="center"/>
        <w:rPr>
          <w:rStyle w:val="7"/>
          <w:rFonts w:ascii="方正小标宋简体" w:hAnsi="方正小标宋简体" w:eastAsia="方正小标宋简体"/>
          <w:sz w:val="32"/>
          <w:szCs w:val="32"/>
        </w:rPr>
      </w:pPr>
    </w:p>
    <w:p>
      <w:pPr>
        <w:ind w:firstLine="640" w:firstLineChars="2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为贯彻落实《市场监管总局等六部门关于进一步优化企业开办服务的通知》，推动开办企业“一窗通取”专窗落地惠企，明确各部门的职责分工，特制订本工作机制。</w:t>
      </w:r>
    </w:p>
    <w:p>
      <w:pPr>
        <w:numPr>
          <w:ilvl w:val="0"/>
          <w:numId w:val="1"/>
        </w:numPr>
        <w:ind w:firstLine="640" w:firstLineChars="200"/>
        <w:jc w:val="left"/>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设置“一窗通取”专窗</w:t>
      </w:r>
    </w:p>
    <w:p>
      <w:pPr>
        <w:ind w:firstLine="640" w:firstLineChars="2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市、县（市、区）两级行政服务中心统一设置“一窗通取”专窗，窗口统一命名为“一窗通取窗口”。培训专业的工作人员为企业提供“一窗通取”服务，窗口要配备电脑、保密柜、摄像头等设备，为企业一次性在专窗领取纸质营业执照、印章、发票和税控设备提供保障。</w:t>
      </w:r>
    </w:p>
    <w:p>
      <w:pPr>
        <w:ind w:firstLine="640" w:firstLineChars="200"/>
        <w:jc w:val="left"/>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二、网上全流程跟进服务</w:t>
      </w:r>
    </w:p>
    <w:p>
      <w:pPr>
        <w:ind w:firstLine="640" w:firstLineChars="2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各级行政服务中心“一窗通取”专窗工作人员每小时登陆一次开办企业一网通办平台（</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"https://api-yst.gdzwfw.gov.cn/rz_ywtb/" \l "/login" </w:instrText>
      </w:r>
      <w:r>
        <w:rPr>
          <w:rFonts w:hint="eastAsia" w:ascii="方正仿宋_GBK" w:hAnsi="方正仿宋_GBK" w:eastAsia="方正仿宋_GBK" w:cs="方正仿宋_GBK"/>
          <w:sz w:val="32"/>
          <w:szCs w:val="32"/>
        </w:rPr>
        <w:fldChar w:fldCharType="separate"/>
      </w:r>
      <w:r>
        <w:rPr>
          <w:rStyle w:val="6"/>
          <w:rFonts w:hint="eastAsia" w:ascii="方正仿宋_GBK" w:hAnsi="方正仿宋_GBK" w:eastAsia="方正仿宋_GBK" w:cs="方正仿宋_GBK"/>
          <w:sz w:val="32"/>
          <w:szCs w:val="32"/>
        </w:rPr>
        <w:t>https://api-yst.gdzwfw.gov.cn/rz_ywtb/#/login</w:t>
      </w:r>
      <w:r>
        <w:rPr>
          <w:rStyle w:val="6"/>
          <w:rFonts w:hint="eastAsia" w:ascii="方正仿宋_GBK" w:hAnsi="方正仿宋_GBK" w:eastAsia="方正仿宋_GBK" w:cs="方正仿宋_GBK"/>
          <w:sz w:val="32"/>
          <w:szCs w:val="32"/>
        </w:rPr>
        <w:fldChar w:fldCharType="end"/>
      </w:r>
      <w:r>
        <w:rPr>
          <w:rStyle w:val="7"/>
          <w:rFonts w:hint="eastAsia" w:ascii="方正仿宋_GBK" w:hAnsi="方正仿宋_GBK" w:eastAsia="方正仿宋_GBK" w:cs="方正仿宋_GBK"/>
          <w:sz w:val="32"/>
          <w:szCs w:val="32"/>
        </w:rPr>
        <w:t>），查看网上申请业务状态。</w:t>
      </w:r>
      <w:r>
        <w:rPr>
          <w:rFonts w:hint="eastAsia" w:ascii="方正仿宋_GBK" w:hAnsi="方正仿宋_GBK" w:eastAsia="方正仿宋_GBK" w:cs="方正仿宋_GBK"/>
          <w:sz w:val="32"/>
          <w:szCs w:val="32"/>
        </w:rPr>
        <w:t>如业务在“办理中”，点击“查看详情”及时跟进办理进度，根据申领的物品提前和相应的业务部门做好沟通和协调；如业务办理完成显示“待领取”即可提醒督促各业务部门送达企业申领的实体物品。</w:t>
      </w:r>
    </w:p>
    <w:p>
      <w:pPr>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 xml:space="preserve">  </w:t>
      </w:r>
      <w:r>
        <w:rPr>
          <w:rStyle w:val="7"/>
          <w:rFonts w:hint="eastAsia" w:ascii="方正黑体_GBK" w:hAnsi="方正黑体_GBK" w:eastAsia="方正黑体_GBK" w:cs="方正黑体_GBK"/>
          <w:sz w:val="32"/>
          <w:szCs w:val="32"/>
        </w:rPr>
        <w:t xml:space="preserve"> 三、确保运送时效及保管</w:t>
      </w:r>
    </w:p>
    <w:p>
      <w:pPr>
        <w:ind w:firstLine="640" w:firstLineChars="2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市场监管、公安、税务等部门要按规定职责和时限，将纸质营业执照、印章、发票和税控设备送至</w:t>
      </w:r>
      <w:r>
        <w:rPr>
          <w:rStyle w:val="7"/>
          <w:rFonts w:hint="eastAsia" w:ascii="方正仿宋_GBK" w:hAnsi="方正仿宋_GBK" w:eastAsia="方正仿宋_GBK" w:cs="方正仿宋_GBK"/>
          <w:sz w:val="32"/>
          <w:szCs w:val="32"/>
        </w:rPr>
        <w:t>行政服务中心“一窗通取”专窗。除特殊情况外，营业执照、发票和税控设备要在部门办理完成后1小时内送达，印章要在刻制完成后3小时内送达。送达时要做好移交、双方签名确认，部门如有需要企业经办人在领取物料时签署的文件也应一并移交给专窗工作人员，专窗工作人员要及时保存到保密柜中。</w:t>
      </w:r>
    </w:p>
    <w:p>
      <w:pPr>
        <w:numPr>
          <w:ilvl w:val="0"/>
          <w:numId w:val="2"/>
        </w:numPr>
        <w:ind w:firstLine="640" w:firstLineChars="200"/>
        <w:jc w:val="left"/>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统一发放企业</w:t>
      </w:r>
    </w:p>
    <w:p>
      <w:pPr>
        <w:ind w:firstLine="640" w:firstLineChars="2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各级行政服务中心“一窗通取”专窗收到纸质营业执照、印章、发票和税控设备后，</w:t>
      </w:r>
      <w:r>
        <w:rPr>
          <w:rStyle w:val="7"/>
          <w:rFonts w:hint="eastAsia" w:ascii="方正仿宋_GBK" w:hAnsi="方正仿宋_GBK" w:eastAsia="方正仿宋_GBK" w:cs="方正仿宋_GBK"/>
          <w:sz w:val="32"/>
          <w:szCs w:val="32"/>
        </w:rPr>
        <w:t>工作人员须在签收后1小时内通知申请人到专窗领取。对于物料领取的程序，各部门如有相关文件需要申请人签订的，要提前对专窗工作人员进行培训。申请人领取过程中工作人员要进行身份核对，要求其填写相关信息、纸质签字确认或在一网通办平台无纸化签名，最后工作人员在一网通办平台点击“完成发放登记”，完成发放后当天将有关文书移交各部门。如经电话提醒多次且3天内不来领取的，退回部门保管。</w:t>
      </w:r>
    </w:p>
    <w:p>
      <w:pPr>
        <w:ind w:firstLine="640" w:firstLineChars="200"/>
        <w:jc w:val="left"/>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五、其他事项</w:t>
      </w:r>
    </w:p>
    <w:p>
      <w:pPr>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 xml:space="preserve">   </w:t>
      </w:r>
      <w:r>
        <w:rPr>
          <w:rStyle w:val="7"/>
          <w:rFonts w:hint="eastAsia" w:ascii="方正仿宋_GBK" w:hAnsi="方正仿宋_GBK" w:eastAsia="方正仿宋_GBK" w:cs="方正仿宋_GBK"/>
          <w:sz w:val="32"/>
          <w:szCs w:val="32"/>
          <w:lang w:val="en-US" w:eastAsia="zh-CN"/>
        </w:rPr>
        <w:t xml:space="preserve"> </w:t>
      </w:r>
      <w:bookmarkStart w:id="0" w:name="_GoBack"/>
      <w:bookmarkEnd w:id="0"/>
      <w:r>
        <w:rPr>
          <w:rStyle w:val="7"/>
          <w:rFonts w:hint="eastAsia" w:ascii="方正仿宋_GBK" w:hAnsi="方正仿宋_GBK" w:eastAsia="方正仿宋_GBK" w:cs="方正仿宋_GBK"/>
          <w:sz w:val="32"/>
          <w:szCs w:val="32"/>
        </w:rPr>
        <w:t>其他未尽事宜，经部门沟通后可继续补充完善。</w:t>
      </w:r>
    </w:p>
    <w:p>
      <w:pPr>
        <w:jc w:val="left"/>
        <w:rPr>
          <w:rStyle w:val="7"/>
          <w:rFonts w:hint="eastAsia" w:ascii="方正仿宋_GBK" w:hAnsi="方正仿宋_GBK" w:eastAsia="方正仿宋_GBK" w:cs="方正仿宋_GBK"/>
          <w:sz w:val="32"/>
          <w:szCs w:val="32"/>
        </w:rPr>
      </w:pPr>
    </w:p>
    <w:p>
      <w:pPr>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附件：1.企业开办一窗通取物品移交表（市监、刻章）</w:t>
      </w:r>
    </w:p>
    <w:p>
      <w:pPr>
        <w:ind w:firstLine="960" w:firstLineChars="3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2.企业开办一窗通取物品移交表（税务）</w:t>
      </w:r>
    </w:p>
    <w:p>
      <w:pPr>
        <w:ind w:firstLine="960" w:firstLineChars="3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3.企业开办一窗通取物品签领表</w:t>
      </w:r>
    </w:p>
    <w:p>
      <w:pPr>
        <w:ind w:firstLine="960" w:firstLineChars="300"/>
        <w:jc w:val="left"/>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4.一窗通取操作手册</w:t>
      </w:r>
    </w:p>
    <w:p>
      <w:pPr>
        <w:jc w:val="left"/>
        <w:rPr>
          <w:rStyle w:val="7"/>
          <w:rFonts w:hint="eastAsia"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r>
      <w:rPr>
        <w:rStyle w:val="7"/>
      </w:rPr>
      <w:pict>
        <v:shape id="_x0000_s2050" o:spid="_x0000_s2050"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joinstyle="miter"/>
          <v:imagedata o:title=""/>
          <o:lock v:ext="edit"/>
          <v:textbox inset="0mm,0mm,0mm,0mm">
            <w:txbxContent>
              <w:p>
                <w:pPr>
                  <w:pStyle w:val="2"/>
                  <w:rPr>
                    <w:rStyle w:val="7"/>
                  </w:rPr>
                </w:pPr>
              </w:p>
              <w:p>
                <w:pPr>
                  <w:rPr>
                    <w:rStyle w:val="7"/>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83905"/>
    <w:multiLevelType w:val="singleLevel"/>
    <w:tmpl w:val="A9F83905"/>
    <w:lvl w:ilvl="0" w:tentative="0">
      <w:start w:val="4"/>
      <w:numFmt w:val="chineseCounting"/>
      <w:suff w:val="nothing"/>
      <w:lvlText w:val="%1、"/>
      <w:lvlJc w:val="left"/>
      <w:rPr>
        <w:rFonts w:hint="eastAsia"/>
      </w:rPr>
    </w:lvl>
  </w:abstractNum>
  <w:abstractNum w:abstractNumId="1">
    <w:nsid w:val="E165FFF6"/>
    <w:multiLevelType w:val="singleLevel"/>
    <w:tmpl w:val="E165FFF6"/>
    <w:lvl w:ilvl="0" w:tentative="0">
      <w:start w:val="1"/>
      <w:numFmt w:val="chineseCounting"/>
      <w:suff w:val="nothing"/>
      <w:lvlText w:val="%1、"/>
      <w:lvlJc w:val="left"/>
      <w:pPr>
        <w:widowControl/>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172A27"/>
    <w:rsid w:val="001007DB"/>
    <w:rsid w:val="001531C3"/>
    <w:rsid w:val="00172A27"/>
    <w:rsid w:val="00194B20"/>
    <w:rsid w:val="002659C0"/>
    <w:rsid w:val="00431070"/>
    <w:rsid w:val="00791245"/>
    <w:rsid w:val="00791B9A"/>
    <w:rsid w:val="008414E9"/>
    <w:rsid w:val="008D1351"/>
    <w:rsid w:val="00B77901"/>
    <w:rsid w:val="00EA0597"/>
    <w:rsid w:val="013A777D"/>
    <w:rsid w:val="01B857D2"/>
    <w:rsid w:val="02BB32E4"/>
    <w:rsid w:val="03086219"/>
    <w:rsid w:val="037B0E8B"/>
    <w:rsid w:val="03914C2C"/>
    <w:rsid w:val="049F2D58"/>
    <w:rsid w:val="056E638D"/>
    <w:rsid w:val="069F6E0E"/>
    <w:rsid w:val="08605F08"/>
    <w:rsid w:val="0887501D"/>
    <w:rsid w:val="09944EE0"/>
    <w:rsid w:val="0E986080"/>
    <w:rsid w:val="118438F2"/>
    <w:rsid w:val="12467C46"/>
    <w:rsid w:val="1331729E"/>
    <w:rsid w:val="135C3E23"/>
    <w:rsid w:val="13C32645"/>
    <w:rsid w:val="148F5C51"/>
    <w:rsid w:val="15EA2811"/>
    <w:rsid w:val="16762FD9"/>
    <w:rsid w:val="18B72168"/>
    <w:rsid w:val="19DA23A0"/>
    <w:rsid w:val="1B7A57C1"/>
    <w:rsid w:val="1CAA5715"/>
    <w:rsid w:val="1D5A5687"/>
    <w:rsid w:val="1DD93EF3"/>
    <w:rsid w:val="21803C4C"/>
    <w:rsid w:val="223A6781"/>
    <w:rsid w:val="23007EF2"/>
    <w:rsid w:val="24312FC9"/>
    <w:rsid w:val="249F749A"/>
    <w:rsid w:val="26141110"/>
    <w:rsid w:val="282D2966"/>
    <w:rsid w:val="29873D24"/>
    <w:rsid w:val="2BC06FC1"/>
    <w:rsid w:val="2C685173"/>
    <w:rsid w:val="2E936C76"/>
    <w:rsid w:val="2FE56071"/>
    <w:rsid w:val="30366C0B"/>
    <w:rsid w:val="31266387"/>
    <w:rsid w:val="31BF183F"/>
    <w:rsid w:val="31D36881"/>
    <w:rsid w:val="33662412"/>
    <w:rsid w:val="337F04F0"/>
    <w:rsid w:val="33BC0588"/>
    <w:rsid w:val="34987A61"/>
    <w:rsid w:val="35CC385A"/>
    <w:rsid w:val="372958C6"/>
    <w:rsid w:val="372E2CB3"/>
    <w:rsid w:val="38514397"/>
    <w:rsid w:val="3A66193A"/>
    <w:rsid w:val="3AB10CE9"/>
    <w:rsid w:val="3AB936A3"/>
    <w:rsid w:val="3C0C0E30"/>
    <w:rsid w:val="3C8F145D"/>
    <w:rsid w:val="40C95E81"/>
    <w:rsid w:val="41B032A9"/>
    <w:rsid w:val="426067AB"/>
    <w:rsid w:val="4517662D"/>
    <w:rsid w:val="47036E9E"/>
    <w:rsid w:val="47294FDD"/>
    <w:rsid w:val="485A482B"/>
    <w:rsid w:val="485F2AE8"/>
    <w:rsid w:val="492364EE"/>
    <w:rsid w:val="492B7793"/>
    <w:rsid w:val="4A772B50"/>
    <w:rsid w:val="4A8231ED"/>
    <w:rsid w:val="4AA26A7E"/>
    <w:rsid w:val="4C7B69F9"/>
    <w:rsid w:val="4FBC6181"/>
    <w:rsid w:val="50386EA0"/>
    <w:rsid w:val="51B93C1F"/>
    <w:rsid w:val="531077DB"/>
    <w:rsid w:val="533F6438"/>
    <w:rsid w:val="541F12A8"/>
    <w:rsid w:val="54312B36"/>
    <w:rsid w:val="57052F1F"/>
    <w:rsid w:val="59D95B46"/>
    <w:rsid w:val="5B6A0790"/>
    <w:rsid w:val="5F220407"/>
    <w:rsid w:val="5F462F18"/>
    <w:rsid w:val="5FD10871"/>
    <w:rsid w:val="5FD20AA1"/>
    <w:rsid w:val="622D0197"/>
    <w:rsid w:val="628A10DA"/>
    <w:rsid w:val="63140B0B"/>
    <w:rsid w:val="63E7186B"/>
    <w:rsid w:val="641C2A3C"/>
    <w:rsid w:val="66E33354"/>
    <w:rsid w:val="6793599A"/>
    <w:rsid w:val="68C96F42"/>
    <w:rsid w:val="6B305898"/>
    <w:rsid w:val="6B73619F"/>
    <w:rsid w:val="6B7B2B08"/>
    <w:rsid w:val="6B956A0B"/>
    <w:rsid w:val="6CC73521"/>
    <w:rsid w:val="6D514DA9"/>
    <w:rsid w:val="6EB608BB"/>
    <w:rsid w:val="71955143"/>
    <w:rsid w:val="728E7248"/>
    <w:rsid w:val="744F3E14"/>
    <w:rsid w:val="75BD5D4B"/>
    <w:rsid w:val="76C31DB8"/>
    <w:rsid w:val="77104C55"/>
    <w:rsid w:val="7806504B"/>
    <w:rsid w:val="792046E3"/>
    <w:rsid w:val="7BA50183"/>
    <w:rsid w:val="7CFF7645"/>
    <w:rsid w:val="7D4F3902"/>
    <w:rsid w:val="7E2A2A0F"/>
    <w:rsid w:val="7E303468"/>
    <w:rsid w:val="7F293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character" w:customStyle="1" w:styleId="7">
    <w:name w:val="NormalCharacter"/>
    <w:semiHidden/>
    <w:qFormat/>
    <w:uiPriority w:val="0"/>
  </w:style>
  <w:style w:type="table" w:customStyle="1" w:styleId="8">
    <w:name w:val="TableNormal"/>
    <w:semiHidden/>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151</Words>
  <Characters>867</Characters>
  <Lines>7</Lines>
  <Paragraphs>2</Paragraphs>
  <TotalTime>244</TotalTime>
  <ScaleCrop>false</ScaleCrop>
  <LinksUpToDate>false</LinksUpToDate>
  <CharactersWithSpaces>1016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2020-11-24T00:38:00Z</dcterms:created>
  <dc:creator>Administrator</dc:creator>
  <cp:lastModifiedBy>谭卓莹</cp:lastModifiedBy>
  <cp:lastPrinted>2020-11-24T00:40:00Z</cp:lastPrinted>
  <dcterms:modified xsi:type="dcterms:W3CDTF">2022-01-27T09:33:13Z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