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江门市利华实业有限公司环境监测方案</w:t>
      </w:r>
    </w:p>
    <w:p>
      <w:pPr>
        <w:spacing w:line="400" w:lineRule="exact"/>
        <w:rPr>
          <w:sz w:val="24"/>
        </w:rPr>
      </w:pPr>
    </w:p>
    <w:p>
      <w:pPr>
        <w:numPr>
          <w:ilvl w:val="0"/>
          <w:numId w:val="1"/>
        </w:num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企业基本情况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 位 名 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江门市利华实业有限公司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地址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江门市棠下镇河山管理区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法定代表人</w:t>
            </w:r>
          </w:p>
        </w:tc>
        <w:tc>
          <w:tcPr>
            <w:tcW w:w="2130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邝忠卫</w:t>
            </w:r>
          </w:p>
        </w:tc>
        <w:tc>
          <w:tcPr>
            <w:tcW w:w="2131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2131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13824093814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所属行业类别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金属家具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废水处理及排放情况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8522" w:type="dxa"/>
            <w:gridSpan w:val="4"/>
            <w:vAlign w:val="center"/>
          </w:tcPr>
          <w:p>
            <w:pPr>
              <w:spacing w:line="400" w:lineRule="exact"/>
              <w:ind w:firstLine="315" w:firstLineChars="150"/>
              <w:jc w:val="left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Cs w:val="21"/>
              </w:rPr>
              <w:t>生产废水经过企业自建的污水处理设施处理，废水处理</w:t>
            </w:r>
            <w:bookmarkStart w:id="0" w:name="_Toc11542"/>
            <w:bookmarkStart w:id="1" w:name="_Toc517689373"/>
            <w:bookmarkStart w:id="2" w:name="_Toc515222219"/>
            <w:bookmarkStart w:id="3" w:name="_Toc514743332"/>
            <w:r>
              <w:rPr>
                <w:rFonts w:hint="eastAsia" w:ascii="宋体" w:hAnsi="宋体"/>
                <w:szCs w:val="21"/>
              </w:rPr>
              <w:t>为“混凝+沉淀”设施处理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Cs w:val="21"/>
              </w:rPr>
              <w:t>达标后排入天沙河，废水排放标准</w:t>
            </w:r>
            <w:r>
              <w:rPr>
                <w:rFonts w:ascii="宋体" w:hAnsi="宋体"/>
                <w:szCs w:val="21"/>
              </w:rPr>
              <w:t>执行广东省地方标准《</w:t>
            </w:r>
            <w:r>
              <w:rPr>
                <w:rFonts w:hint="eastAsia" w:ascii="宋体" w:hAnsi="宋体"/>
                <w:szCs w:val="21"/>
              </w:rPr>
              <w:t>电镀水污染物排放标准</w:t>
            </w:r>
            <w:r>
              <w:rPr>
                <w:rFonts w:ascii="宋体" w:hAnsi="宋体"/>
                <w:szCs w:val="21"/>
              </w:rPr>
              <w:t>》（DB44/1597-2015）表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规定的珠三角水污染物排放限值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>
      <w:pPr>
        <w:spacing w:line="400" w:lineRule="exact"/>
        <w:rPr>
          <w:sz w:val="24"/>
        </w:rPr>
      </w:pPr>
    </w:p>
    <w:p>
      <w:pPr>
        <w:numPr>
          <w:ilvl w:val="0"/>
          <w:numId w:val="1"/>
        </w:num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监测内容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本项目日常监测委托具有资质的第三方单位-广东利诚检测技术有限公司江门分公司实施，监测类型包括有组织废气、废水、噪声，具体检测项目见下表。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296"/>
        <w:gridCol w:w="168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监测类型</w:t>
            </w:r>
          </w:p>
        </w:tc>
        <w:tc>
          <w:tcPr>
            <w:tcW w:w="3296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监测项目</w:t>
            </w:r>
          </w:p>
        </w:tc>
        <w:tc>
          <w:tcPr>
            <w:tcW w:w="1687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检测点位数及采样位置</w:t>
            </w:r>
          </w:p>
        </w:tc>
        <w:tc>
          <w:tcPr>
            <w:tcW w:w="1421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检测频次（次/每年）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废水排放口</w:t>
            </w:r>
          </w:p>
        </w:tc>
        <w:tc>
          <w:tcPr>
            <w:tcW w:w="3296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苯、甲苯、二甲苯</w:t>
            </w:r>
          </w:p>
        </w:tc>
        <w:tc>
          <w:tcPr>
            <w:tcW w:w="1687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（废水排放口）</w:t>
            </w:r>
          </w:p>
        </w:tc>
        <w:tc>
          <w:tcPr>
            <w:tcW w:w="1421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涂装废气</w:t>
            </w:r>
            <w:r>
              <w:rPr>
                <w:rFonts w:hint="eastAsia"/>
                <w:sz w:val="22"/>
                <w:szCs w:val="22"/>
              </w:rPr>
              <w:t>排放口</w:t>
            </w:r>
          </w:p>
        </w:tc>
        <w:tc>
          <w:tcPr>
            <w:tcW w:w="3296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非甲烷总烃、颗粒物、臭气浓度</w:t>
            </w:r>
          </w:p>
        </w:tc>
        <w:tc>
          <w:tcPr>
            <w:tcW w:w="1687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3（废气采样口）</w:t>
            </w:r>
          </w:p>
        </w:tc>
        <w:tc>
          <w:tcPr>
            <w:tcW w:w="1421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注塑废气</w:t>
            </w:r>
            <w:r>
              <w:rPr>
                <w:rFonts w:hint="eastAsia"/>
                <w:sz w:val="22"/>
                <w:szCs w:val="22"/>
              </w:rPr>
              <w:t>排放口</w:t>
            </w:r>
          </w:p>
        </w:tc>
        <w:tc>
          <w:tcPr>
            <w:tcW w:w="3296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PH、SS、COD、石油类、氨氮、磷酸盐、六价铬</w:t>
            </w:r>
          </w:p>
        </w:tc>
        <w:tc>
          <w:tcPr>
            <w:tcW w:w="1687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1（废气采样口）</w:t>
            </w:r>
          </w:p>
        </w:tc>
        <w:tc>
          <w:tcPr>
            <w:tcW w:w="1421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厂界噪声</w:t>
            </w:r>
          </w:p>
        </w:tc>
        <w:tc>
          <w:tcPr>
            <w:tcW w:w="3296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昼间、夜间噪声</w:t>
            </w:r>
          </w:p>
        </w:tc>
        <w:tc>
          <w:tcPr>
            <w:tcW w:w="1687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4（厂界）</w:t>
            </w:r>
          </w:p>
        </w:tc>
        <w:tc>
          <w:tcPr>
            <w:tcW w:w="1421" w:type="dxa"/>
            <w:vAlign w:val="center"/>
          </w:tcPr>
          <w:p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</w:tr>
    </w:tbl>
    <w:p>
      <w:pPr>
        <w:spacing w:line="400" w:lineRule="exact"/>
        <w:rPr>
          <w:sz w:val="24"/>
        </w:rPr>
      </w:pPr>
    </w:p>
    <w:p>
      <w:pPr>
        <w:numPr>
          <w:ilvl w:val="0"/>
          <w:numId w:val="1"/>
        </w:num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执行标准</w:t>
      </w:r>
    </w:p>
    <w:p>
      <w:pPr>
        <w:numPr>
          <w:ilvl w:val="0"/>
          <w:numId w:val="2"/>
        </w:num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污水执行广东省地方标准《电镀水污染物排放标准》（DB44/1597-2015）表1规定的珠三角水污染物排放限值</w:t>
      </w:r>
      <w:r>
        <w:rPr>
          <w:rFonts w:hint="eastAsia"/>
          <w:sz w:val="24"/>
        </w:rPr>
        <w:t>；</w:t>
      </w:r>
    </w:p>
    <w:p>
      <w:pPr>
        <w:numPr>
          <w:ilvl w:val="0"/>
          <w:numId w:val="2"/>
        </w:numPr>
        <w:spacing w:line="400" w:lineRule="exact"/>
        <w:rPr>
          <w:sz w:val="24"/>
        </w:rPr>
      </w:pPr>
      <w:r>
        <w:rPr>
          <w:rFonts w:hint="eastAsia"/>
          <w:sz w:val="24"/>
        </w:rPr>
        <w:t>废气执行《广</w:t>
      </w:r>
      <w:bookmarkStart w:id="4" w:name="_GoBack"/>
      <w:bookmarkEnd w:id="4"/>
      <w:r>
        <w:rPr>
          <w:rFonts w:hint="eastAsia"/>
          <w:sz w:val="24"/>
        </w:rPr>
        <w:t>东省地方标准大气污染物排放限值》（DB44/27-2001）第二时段二级标准；恶臭执行《恶臭污染物排放标准》GB14554-1993；</w:t>
      </w:r>
    </w:p>
    <w:p>
      <w:pPr>
        <w:numPr>
          <w:ilvl w:val="0"/>
          <w:numId w:val="2"/>
        </w:numPr>
        <w:spacing w:line="400" w:lineRule="exact"/>
        <w:rPr>
          <w:sz w:val="24"/>
        </w:rPr>
      </w:pPr>
      <w:r>
        <w:rPr>
          <w:rFonts w:hint="eastAsia"/>
          <w:sz w:val="24"/>
        </w:rPr>
        <w:t>噪声执行《工业企业厂界环境噪声排放标准》（GB12348-2008）2类标准。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jc w:val="center"/>
        <w:rPr>
          <w:sz w:val="24"/>
        </w:rPr>
      </w:pPr>
      <w:r>
        <w:rPr>
          <w:sz w:val="24"/>
        </w:rPr>
        <w:drawing>
          <wp:inline distT="0" distB="0" distL="114300" distR="114300">
            <wp:extent cx="3599815" cy="2734945"/>
            <wp:effectExtent l="0" t="0" r="635" b="8255"/>
            <wp:docPr id="2" name="图片 2" descr="155772926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57729267(1)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3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56D78B"/>
    <w:multiLevelType w:val="singleLevel"/>
    <w:tmpl w:val="B256D78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3D381B89"/>
    <w:multiLevelType w:val="singleLevel"/>
    <w:tmpl w:val="3D381B8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63D8"/>
    <w:rsid w:val="001D25D0"/>
    <w:rsid w:val="0024529C"/>
    <w:rsid w:val="00515C38"/>
    <w:rsid w:val="008B63D8"/>
    <w:rsid w:val="1B845070"/>
    <w:rsid w:val="3D37744F"/>
    <w:rsid w:val="7D7245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94</Words>
  <Characters>538</Characters>
  <Lines>4</Lines>
  <Paragraphs>1</Paragraphs>
  <TotalTime>0</TotalTime>
  <ScaleCrop>false</ScaleCrop>
  <LinksUpToDate>false</LinksUpToDate>
  <CharactersWithSpaces>631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2019-05-13T06:08:00Z</dcterms:created>
  <dc:creator>王子杰</dc:creator>
  <cp:lastModifiedBy>王子杰</cp:lastModifiedBy>
  <dcterms:modified xsi:type="dcterms:W3CDTF">2019-05-13T09:07:50Z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